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4176" w:type="dxa"/>
        <w:tblInd w:w="-601" w:type="dxa"/>
        <w:tblLook w:val="04A0" w:firstRow="1" w:lastRow="0" w:firstColumn="1" w:lastColumn="0" w:noHBand="0" w:noVBand="1"/>
      </w:tblPr>
      <w:tblGrid>
        <w:gridCol w:w="6946"/>
        <w:gridCol w:w="7230"/>
      </w:tblGrid>
      <w:tr w:rsidR="00E04950" w:rsidRPr="00373F22" w14:paraId="425B01FE" w14:textId="77777777" w:rsidTr="00E04950">
        <w:tc>
          <w:tcPr>
            <w:tcW w:w="6946" w:type="dxa"/>
          </w:tcPr>
          <w:p w14:paraId="6C9FA533" w14:textId="5DDC2037" w:rsidR="0054137D" w:rsidRPr="00B42B2B" w:rsidRDefault="0054137D">
            <w:pPr>
              <w:rPr>
                <w:rFonts w:asciiTheme="minorHAnsi" w:hAnsiTheme="minorHAnsi" w:cstheme="minorHAnsi"/>
                <w:lang w:val="it-IT"/>
              </w:rPr>
            </w:pPr>
            <w:r w:rsidRPr="00B42B2B">
              <w:rPr>
                <w:rFonts w:asciiTheme="minorHAnsi" w:hAnsiTheme="minorHAnsi" w:cstheme="minorHAnsi"/>
                <w:lang w:val="it-IT"/>
              </w:rPr>
              <w:t>Versione precedente</w:t>
            </w:r>
            <w:r w:rsidR="00B42B2B" w:rsidRPr="00B42B2B">
              <w:rPr>
                <w:rFonts w:asciiTheme="minorHAnsi" w:hAnsiTheme="minorHAnsi" w:cstheme="minorHAnsi"/>
                <w:lang w:val="it-IT"/>
              </w:rPr>
              <w:t xml:space="preserve"> (scaricata da A</w:t>
            </w:r>
            <w:r w:rsidR="00B42B2B">
              <w:rPr>
                <w:rFonts w:asciiTheme="minorHAnsi" w:hAnsiTheme="minorHAnsi" w:cstheme="minorHAnsi"/>
                <w:lang w:val="it-IT"/>
              </w:rPr>
              <w:t xml:space="preserve">IFA e datata </w:t>
            </w:r>
            <w:r w:rsidR="00373F22" w:rsidRPr="00373F22">
              <w:rPr>
                <w:rFonts w:asciiTheme="minorHAnsi" w:hAnsiTheme="minorHAnsi" w:cstheme="minorHAnsi"/>
                <w:lang w:val="it-IT"/>
              </w:rPr>
              <w:t>18/05/2022</w:t>
            </w:r>
            <w:r w:rsidR="00373F22" w:rsidRPr="00373F22">
              <w:rPr>
                <w:rFonts w:asciiTheme="minorHAnsi" w:hAnsiTheme="minorHAnsi" w:cstheme="minorHAnsi"/>
                <w:lang w:val="it-IT"/>
              </w:rPr>
              <w:t>)</w:t>
            </w:r>
          </w:p>
        </w:tc>
        <w:tc>
          <w:tcPr>
            <w:tcW w:w="7230" w:type="dxa"/>
          </w:tcPr>
          <w:p w14:paraId="43919056" w14:textId="5BF54C13" w:rsidR="0054137D" w:rsidRPr="00373F22" w:rsidRDefault="00373F22">
            <w:pPr>
              <w:rPr>
                <w:rFonts w:asciiTheme="minorHAnsi" w:hAnsiTheme="minorHAnsi" w:cstheme="minorHAnsi"/>
                <w:lang w:val="it-IT"/>
              </w:rPr>
            </w:pPr>
            <w:r>
              <w:rPr>
                <w:rFonts w:asciiTheme="minorHAnsi" w:hAnsiTheme="minorHAnsi" w:cstheme="minorHAnsi"/>
                <w:lang w:val="it-IT"/>
              </w:rPr>
              <w:t>(</w:t>
            </w:r>
            <w:r w:rsidR="0054137D" w:rsidRPr="00373F22">
              <w:rPr>
                <w:rFonts w:asciiTheme="minorHAnsi" w:hAnsiTheme="minorHAnsi" w:cstheme="minorHAnsi"/>
                <w:lang w:val="it-IT"/>
              </w:rPr>
              <w:t>Versione Ultima Approvata</w:t>
            </w:r>
            <w:r w:rsidRPr="00373F22">
              <w:rPr>
                <w:rFonts w:asciiTheme="minorHAnsi" w:hAnsiTheme="minorHAnsi" w:cstheme="minorHAnsi"/>
                <w:lang w:val="it-IT"/>
              </w:rPr>
              <w:t xml:space="preserve"> EPAR 24/1</w:t>
            </w:r>
            <w:r>
              <w:rPr>
                <w:rFonts w:asciiTheme="minorHAnsi" w:hAnsiTheme="minorHAnsi" w:cstheme="minorHAnsi"/>
                <w:lang w:val="it-IT"/>
              </w:rPr>
              <w:t>0/2022)</w:t>
            </w:r>
          </w:p>
        </w:tc>
      </w:tr>
      <w:tr w:rsidR="00AB7B72" w:rsidRPr="00DB1028" w14:paraId="158FDB7A" w14:textId="77777777" w:rsidTr="00A01AF5">
        <w:tc>
          <w:tcPr>
            <w:tcW w:w="14176" w:type="dxa"/>
            <w:gridSpan w:val="2"/>
          </w:tcPr>
          <w:p w14:paraId="691995AC" w14:textId="10C38D9E" w:rsidR="00AB7B72" w:rsidRPr="00B066D4" w:rsidRDefault="00AB7B72" w:rsidP="00B066D4">
            <w:pPr>
              <w:jc w:val="center"/>
              <w:rPr>
                <w:rFonts w:asciiTheme="minorHAnsi" w:hAnsiTheme="minorHAnsi" w:cstheme="minorHAnsi"/>
                <w:b/>
                <w:bCs/>
                <w:color w:val="FF0000"/>
              </w:rPr>
            </w:pPr>
            <w:proofErr w:type="spellStart"/>
            <w:r w:rsidRPr="00B066D4">
              <w:rPr>
                <w:rFonts w:asciiTheme="minorHAnsi" w:hAnsiTheme="minorHAnsi" w:cstheme="minorHAnsi"/>
                <w:b/>
                <w:bCs/>
                <w:color w:val="FF0000"/>
              </w:rPr>
              <w:t>Sezione</w:t>
            </w:r>
            <w:proofErr w:type="spellEnd"/>
            <w:r w:rsidRPr="00B066D4">
              <w:rPr>
                <w:rFonts w:asciiTheme="minorHAnsi" w:hAnsiTheme="minorHAnsi" w:cstheme="minorHAnsi"/>
                <w:b/>
                <w:bCs/>
                <w:color w:val="FF0000"/>
              </w:rPr>
              <w:t xml:space="preserve"> 4.2 – </w:t>
            </w:r>
            <w:proofErr w:type="spellStart"/>
            <w:r w:rsidRPr="00B066D4">
              <w:rPr>
                <w:rFonts w:asciiTheme="minorHAnsi" w:hAnsiTheme="minorHAnsi" w:cstheme="minorHAnsi"/>
                <w:b/>
                <w:bCs/>
                <w:color w:val="FF0000"/>
              </w:rPr>
              <w:t>Popolazioni</w:t>
            </w:r>
            <w:proofErr w:type="spellEnd"/>
            <w:r w:rsidRPr="00B066D4">
              <w:rPr>
                <w:rFonts w:asciiTheme="minorHAnsi" w:hAnsiTheme="minorHAnsi" w:cstheme="minorHAnsi"/>
                <w:b/>
                <w:bCs/>
                <w:color w:val="FF0000"/>
              </w:rPr>
              <w:t xml:space="preserve"> </w:t>
            </w:r>
            <w:proofErr w:type="spellStart"/>
            <w:r w:rsidRPr="00B066D4">
              <w:rPr>
                <w:rFonts w:asciiTheme="minorHAnsi" w:hAnsiTheme="minorHAnsi" w:cstheme="minorHAnsi"/>
                <w:b/>
                <w:bCs/>
                <w:color w:val="FF0000"/>
              </w:rPr>
              <w:t>speciali</w:t>
            </w:r>
            <w:proofErr w:type="spellEnd"/>
          </w:p>
        </w:tc>
      </w:tr>
      <w:tr w:rsidR="00E04950" w:rsidRPr="00DB1028" w14:paraId="205D8701" w14:textId="77777777" w:rsidTr="00E04950">
        <w:tc>
          <w:tcPr>
            <w:tcW w:w="6946" w:type="dxa"/>
          </w:tcPr>
          <w:p w14:paraId="49ECDE7A" w14:textId="31D9F7EB" w:rsidR="006D0308" w:rsidRDefault="006D0308" w:rsidP="006D0308">
            <w:pPr>
              <w:autoSpaceDE w:val="0"/>
              <w:autoSpaceDN w:val="0"/>
              <w:adjustRightInd w:val="0"/>
              <w:rPr>
                <w:rFonts w:asciiTheme="minorHAnsi" w:hAnsiTheme="minorHAnsi" w:cstheme="minorHAnsi"/>
                <w:i/>
                <w:iCs/>
                <w:lang w:val="it-IT"/>
              </w:rPr>
            </w:pPr>
            <w:r w:rsidRPr="00DB1028">
              <w:rPr>
                <w:rFonts w:asciiTheme="minorHAnsi" w:hAnsiTheme="minorHAnsi" w:cstheme="minorHAnsi"/>
                <w:i/>
                <w:iCs/>
                <w:lang w:val="it-IT"/>
              </w:rPr>
              <w:t>Popolazione pediatrica</w:t>
            </w:r>
          </w:p>
          <w:p w14:paraId="1F1FC05E" w14:textId="77777777" w:rsidR="006D0308" w:rsidRPr="00DB1028" w:rsidRDefault="006D0308" w:rsidP="006D0308">
            <w:pPr>
              <w:autoSpaceDE w:val="0"/>
              <w:autoSpaceDN w:val="0"/>
              <w:adjustRightInd w:val="0"/>
              <w:rPr>
                <w:rFonts w:asciiTheme="minorHAnsi" w:hAnsiTheme="minorHAnsi" w:cstheme="minorHAnsi"/>
                <w:lang w:val="it-IT"/>
              </w:rPr>
            </w:pPr>
            <w:r w:rsidRPr="00DB1028">
              <w:rPr>
                <w:rFonts w:asciiTheme="minorHAnsi" w:hAnsiTheme="minorHAnsi" w:cstheme="minorHAnsi"/>
                <w:i/>
                <w:iCs/>
                <w:lang w:val="it-IT"/>
              </w:rPr>
              <w:t xml:space="preserve">LLA a cellule B: </w:t>
            </w:r>
            <w:r w:rsidRPr="00DB1028">
              <w:rPr>
                <w:rFonts w:asciiTheme="minorHAnsi" w:hAnsiTheme="minorHAnsi" w:cstheme="minorHAnsi"/>
                <w:lang w:val="it-IT"/>
              </w:rPr>
              <w:t>Non sono stati effettuati studi formali in pazienti pediatrici di età inferiore ai 3 anni.</w:t>
            </w:r>
          </w:p>
          <w:p w14:paraId="38684371" w14:textId="1BE90C2B" w:rsidR="0054137D" w:rsidRPr="00DB1028" w:rsidRDefault="006D0308" w:rsidP="00E04950">
            <w:pPr>
              <w:autoSpaceDE w:val="0"/>
              <w:autoSpaceDN w:val="0"/>
              <w:adjustRightInd w:val="0"/>
              <w:rPr>
                <w:rFonts w:asciiTheme="minorHAnsi" w:hAnsiTheme="minorHAnsi" w:cstheme="minorHAnsi"/>
                <w:lang w:val="it-IT"/>
              </w:rPr>
            </w:pPr>
            <w:r w:rsidRPr="00DB1028">
              <w:rPr>
                <w:rFonts w:asciiTheme="minorHAnsi" w:hAnsiTheme="minorHAnsi" w:cstheme="minorHAnsi"/>
                <w:i/>
                <w:iCs/>
                <w:lang w:val="it-IT"/>
              </w:rPr>
              <w:t>DLBCL e LF</w:t>
            </w:r>
            <w:r w:rsidRPr="00DB1028">
              <w:rPr>
                <w:rFonts w:asciiTheme="minorHAnsi" w:hAnsiTheme="minorHAnsi" w:cstheme="minorHAnsi"/>
                <w:lang w:val="it-IT"/>
              </w:rPr>
              <w:t xml:space="preserve">: </w:t>
            </w:r>
            <w:r w:rsidRPr="00DB1028">
              <w:rPr>
                <w:rFonts w:asciiTheme="minorHAnsi" w:eastAsia="TimesNewRomanPSMT" w:hAnsiTheme="minorHAnsi" w:cstheme="minorHAnsi"/>
                <w:lang w:val="it-IT"/>
              </w:rPr>
              <w:t xml:space="preserve">La sicurezza e l’efficacia di </w:t>
            </w:r>
            <w:proofErr w:type="spellStart"/>
            <w:r w:rsidRPr="00DB1028">
              <w:rPr>
                <w:rFonts w:asciiTheme="minorHAnsi" w:eastAsia="TimesNewRomanPSMT" w:hAnsiTheme="minorHAnsi" w:cstheme="minorHAnsi"/>
                <w:lang w:val="it-IT"/>
              </w:rPr>
              <w:t>Kymriah</w:t>
            </w:r>
            <w:proofErr w:type="spellEnd"/>
            <w:r w:rsidRPr="00DB1028">
              <w:rPr>
                <w:rFonts w:asciiTheme="minorHAnsi" w:eastAsia="TimesNewRomanPSMT" w:hAnsiTheme="minorHAnsi" w:cstheme="minorHAnsi"/>
                <w:lang w:val="it-IT"/>
              </w:rPr>
              <w:t xml:space="preserve"> </w:t>
            </w:r>
            <w:r w:rsidRPr="00DB1028">
              <w:rPr>
                <w:rFonts w:asciiTheme="minorHAnsi" w:hAnsiTheme="minorHAnsi" w:cstheme="minorHAnsi"/>
                <w:lang w:val="it-IT"/>
              </w:rPr>
              <w:t>in bambini e adolescenti di età inferiore a 18 anni</w:t>
            </w:r>
            <w:r w:rsidR="00E04950">
              <w:rPr>
                <w:rFonts w:asciiTheme="minorHAnsi" w:hAnsiTheme="minorHAnsi" w:cstheme="minorHAnsi"/>
                <w:lang w:val="it-IT"/>
              </w:rPr>
              <w:t xml:space="preserve"> </w:t>
            </w:r>
            <w:r w:rsidRPr="00DB1028">
              <w:rPr>
                <w:rFonts w:asciiTheme="minorHAnsi" w:hAnsiTheme="minorHAnsi" w:cstheme="minorHAnsi"/>
                <w:lang w:val="it-IT"/>
              </w:rPr>
              <w:t>non sono state ancora stabilite. Non ci sono dati disponibili.</w:t>
            </w:r>
          </w:p>
        </w:tc>
        <w:tc>
          <w:tcPr>
            <w:tcW w:w="7230" w:type="dxa"/>
          </w:tcPr>
          <w:p w14:paraId="09FA729A" w14:textId="77777777" w:rsidR="00AB7B72" w:rsidRPr="00DB1028" w:rsidRDefault="00AB7B72" w:rsidP="00AB7B72">
            <w:pPr>
              <w:pStyle w:val="Default"/>
              <w:rPr>
                <w:rFonts w:asciiTheme="minorHAnsi" w:hAnsiTheme="minorHAnsi" w:cstheme="minorHAnsi"/>
                <w:sz w:val="20"/>
                <w:szCs w:val="20"/>
              </w:rPr>
            </w:pPr>
            <w:r w:rsidRPr="00DB1028">
              <w:rPr>
                <w:rFonts w:asciiTheme="minorHAnsi" w:hAnsiTheme="minorHAnsi" w:cstheme="minorHAnsi"/>
                <w:i/>
                <w:iCs/>
                <w:sz w:val="20"/>
                <w:szCs w:val="20"/>
              </w:rPr>
              <w:t xml:space="preserve">Popolazione pediatrica </w:t>
            </w:r>
          </w:p>
          <w:p w14:paraId="680B36BD" w14:textId="77777777" w:rsidR="00AB7B72" w:rsidRPr="00DB1028" w:rsidRDefault="00AB7B72" w:rsidP="00AB7B72">
            <w:pPr>
              <w:pStyle w:val="Default"/>
              <w:rPr>
                <w:rFonts w:asciiTheme="minorHAnsi" w:hAnsiTheme="minorHAnsi" w:cstheme="minorHAnsi"/>
                <w:sz w:val="20"/>
                <w:szCs w:val="20"/>
              </w:rPr>
            </w:pPr>
            <w:r w:rsidRPr="00DB1028">
              <w:rPr>
                <w:rFonts w:asciiTheme="minorHAnsi" w:hAnsiTheme="minorHAnsi" w:cstheme="minorHAnsi"/>
                <w:i/>
                <w:iCs/>
                <w:sz w:val="20"/>
                <w:szCs w:val="20"/>
              </w:rPr>
              <w:t xml:space="preserve">LLA a cellule B: </w:t>
            </w:r>
            <w:r w:rsidRPr="00BC77CA">
              <w:rPr>
                <w:rFonts w:asciiTheme="minorHAnsi" w:hAnsiTheme="minorHAnsi" w:cstheme="minorHAnsi"/>
                <w:b/>
                <w:bCs/>
                <w:sz w:val="20"/>
                <w:szCs w:val="20"/>
              </w:rPr>
              <w:t xml:space="preserve">L'esperienza con </w:t>
            </w:r>
            <w:proofErr w:type="spellStart"/>
            <w:r w:rsidRPr="00BC77CA">
              <w:rPr>
                <w:rFonts w:asciiTheme="minorHAnsi" w:hAnsiTheme="minorHAnsi" w:cstheme="minorHAnsi"/>
                <w:b/>
                <w:bCs/>
                <w:sz w:val="20"/>
                <w:szCs w:val="20"/>
              </w:rPr>
              <w:t>Kymriah</w:t>
            </w:r>
            <w:proofErr w:type="spellEnd"/>
            <w:r w:rsidRPr="00DB1028">
              <w:rPr>
                <w:rFonts w:asciiTheme="minorHAnsi" w:hAnsiTheme="minorHAnsi" w:cstheme="minorHAnsi"/>
                <w:sz w:val="20"/>
                <w:szCs w:val="20"/>
              </w:rPr>
              <w:t xml:space="preserve"> in pazienti pediatrici di età inferiore ai 3 </w:t>
            </w:r>
            <w:r w:rsidRPr="00BC77CA">
              <w:rPr>
                <w:rFonts w:asciiTheme="minorHAnsi" w:hAnsiTheme="minorHAnsi" w:cstheme="minorHAnsi"/>
                <w:b/>
                <w:bCs/>
                <w:sz w:val="20"/>
                <w:szCs w:val="20"/>
              </w:rPr>
              <w:t>anni è limitata.</w:t>
            </w:r>
            <w:r w:rsidRPr="00DB1028">
              <w:rPr>
                <w:rFonts w:asciiTheme="minorHAnsi" w:hAnsiTheme="minorHAnsi" w:cstheme="minorHAnsi"/>
                <w:sz w:val="20"/>
                <w:szCs w:val="20"/>
              </w:rPr>
              <w:t xml:space="preserve"> </w:t>
            </w:r>
          </w:p>
          <w:p w14:paraId="113FE4BA" w14:textId="77777777" w:rsidR="00AB7B72" w:rsidRPr="006E0E1A" w:rsidRDefault="00AB7B72" w:rsidP="00AB7B72">
            <w:pPr>
              <w:pStyle w:val="Default"/>
              <w:rPr>
                <w:rFonts w:asciiTheme="minorHAnsi" w:hAnsiTheme="minorHAnsi" w:cstheme="minorHAnsi"/>
                <w:b/>
                <w:bCs/>
                <w:sz w:val="20"/>
                <w:szCs w:val="20"/>
              </w:rPr>
            </w:pPr>
            <w:r w:rsidRPr="00DB1028">
              <w:rPr>
                <w:rFonts w:asciiTheme="minorHAnsi" w:hAnsiTheme="minorHAnsi" w:cstheme="minorHAnsi"/>
                <w:i/>
                <w:iCs/>
                <w:sz w:val="20"/>
                <w:szCs w:val="20"/>
              </w:rPr>
              <w:t>DLBCL</w:t>
            </w:r>
            <w:r w:rsidRPr="00DB1028">
              <w:rPr>
                <w:rFonts w:asciiTheme="minorHAnsi" w:hAnsiTheme="minorHAnsi" w:cstheme="minorHAnsi"/>
                <w:sz w:val="20"/>
                <w:szCs w:val="20"/>
              </w:rPr>
              <w:t xml:space="preserve">: La sicurezza e l’efficacia di </w:t>
            </w:r>
            <w:proofErr w:type="spellStart"/>
            <w:r w:rsidRPr="00DB1028">
              <w:rPr>
                <w:rFonts w:asciiTheme="minorHAnsi" w:hAnsiTheme="minorHAnsi" w:cstheme="minorHAnsi"/>
                <w:sz w:val="20"/>
                <w:szCs w:val="20"/>
              </w:rPr>
              <w:t>Kymriah</w:t>
            </w:r>
            <w:proofErr w:type="spellEnd"/>
            <w:r w:rsidRPr="00DB1028">
              <w:rPr>
                <w:rFonts w:asciiTheme="minorHAnsi" w:hAnsiTheme="minorHAnsi" w:cstheme="minorHAnsi"/>
                <w:sz w:val="20"/>
                <w:szCs w:val="20"/>
              </w:rPr>
              <w:t xml:space="preserve"> in bambini e adolescenti di età inferiore a 18 anni non sono state ancora stabilite. </w:t>
            </w:r>
            <w:r w:rsidRPr="006E0E1A">
              <w:rPr>
                <w:rFonts w:asciiTheme="minorHAnsi" w:hAnsiTheme="minorHAnsi" w:cstheme="minorHAnsi"/>
                <w:b/>
                <w:bCs/>
                <w:sz w:val="20"/>
                <w:szCs w:val="20"/>
              </w:rPr>
              <w:t xml:space="preserve">I dati al momento disponibili sono riportati nel paragrafo 5.1, ma non può essere fatta alcuna raccomandazione riguardante la posologia. </w:t>
            </w:r>
          </w:p>
          <w:p w14:paraId="2C30BE80" w14:textId="77777777" w:rsidR="0054137D" w:rsidRDefault="00AB7B72" w:rsidP="00AB7B72">
            <w:pPr>
              <w:rPr>
                <w:rFonts w:asciiTheme="minorHAnsi" w:hAnsiTheme="minorHAnsi" w:cstheme="minorHAnsi"/>
                <w:b/>
                <w:bCs/>
              </w:rPr>
            </w:pPr>
            <w:r w:rsidRPr="006E0E1A">
              <w:rPr>
                <w:rFonts w:asciiTheme="minorHAnsi" w:hAnsiTheme="minorHAnsi" w:cstheme="minorHAnsi"/>
                <w:b/>
                <w:bCs/>
                <w:i/>
                <w:iCs/>
                <w:lang w:val="it-IT"/>
              </w:rPr>
              <w:t>LF</w:t>
            </w:r>
            <w:r w:rsidRPr="006E0E1A">
              <w:rPr>
                <w:rFonts w:asciiTheme="minorHAnsi" w:hAnsiTheme="minorHAnsi" w:cstheme="minorHAnsi"/>
                <w:b/>
                <w:bCs/>
                <w:lang w:val="it-IT"/>
              </w:rPr>
              <w:t xml:space="preserve">: La sicurezza e l’efficacia di </w:t>
            </w:r>
            <w:proofErr w:type="spellStart"/>
            <w:r w:rsidRPr="006E0E1A">
              <w:rPr>
                <w:rFonts w:asciiTheme="minorHAnsi" w:hAnsiTheme="minorHAnsi" w:cstheme="minorHAnsi"/>
                <w:b/>
                <w:bCs/>
                <w:lang w:val="it-IT"/>
              </w:rPr>
              <w:t>Kymriah</w:t>
            </w:r>
            <w:proofErr w:type="spellEnd"/>
            <w:r w:rsidRPr="006E0E1A">
              <w:rPr>
                <w:rFonts w:asciiTheme="minorHAnsi" w:hAnsiTheme="minorHAnsi" w:cstheme="minorHAnsi"/>
                <w:b/>
                <w:bCs/>
                <w:lang w:val="it-IT"/>
              </w:rPr>
              <w:t xml:space="preserve"> in bambini e adolescenti di età inferiore a 18 anni non sono state ancora stabilite. </w:t>
            </w:r>
            <w:r w:rsidRPr="006E0E1A">
              <w:rPr>
                <w:rFonts w:asciiTheme="minorHAnsi" w:hAnsiTheme="minorHAnsi" w:cstheme="minorHAnsi"/>
                <w:b/>
                <w:bCs/>
              </w:rPr>
              <w:t xml:space="preserve">Non ci </w:t>
            </w:r>
            <w:proofErr w:type="spellStart"/>
            <w:r w:rsidRPr="006E0E1A">
              <w:rPr>
                <w:rFonts w:asciiTheme="minorHAnsi" w:hAnsiTheme="minorHAnsi" w:cstheme="minorHAnsi"/>
                <w:b/>
                <w:bCs/>
              </w:rPr>
              <w:t>sono</w:t>
            </w:r>
            <w:proofErr w:type="spellEnd"/>
            <w:r w:rsidRPr="006E0E1A">
              <w:rPr>
                <w:rFonts w:asciiTheme="minorHAnsi" w:hAnsiTheme="minorHAnsi" w:cstheme="minorHAnsi"/>
                <w:b/>
                <w:bCs/>
              </w:rPr>
              <w:t xml:space="preserve"> </w:t>
            </w:r>
            <w:proofErr w:type="spellStart"/>
            <w:r w:rsidRPr="006E0E1A">
              <w:rPr>
                <w:rFonts w:asciiTheme="minorHAnsi" w:hAnsiTheme="minorHAnsi" w:cstheme="minorHAnsi"/>
                <w:b/>
                <w:bCs/>
              </w:rPr>
              <w:t>dati</w:t>
            </w:r>
            <w:proofErr w:type="spellEnd"/>
            <w:r w:rsidRPr="006E0E1A">
              <w:rPr>
                <w:rFonts w:asciiTheme="minorHAnsi" w:hAnsiTheme="minorHAnsi" w:cstheme="minorHAnsi"/>
                <w:b/>
                <w:bCs/>
              </w:rPr>
              <w:t xml:space="preserve"> </w:t>
            </w:r>
            <w:proofErr w:type="spellStart"/>
            <w:r w:rsidRPr="006E0E1A">
              <w:rPr>
                <w:rFonts w:asciiTheme="minorHAnsi" w:hAnsiTheme="minorHAnsi" w:cstheme="minorHAnsi"/>
                <w:b/>
                <w:bCs/>
              </w:rPr>
              <w:t>disponibili</w:t>
            </w:r>
            <w:proofErr w:type="spellEnd"/>
            <w:r w:rsidRPr="006E0E1A">
              <w:rPr>
                <w:rFonts w:asciiTheme="minorHAnsi" w:hAnsiTheme="minorHAnsi" w:cstheme="minorHAnsi"/>
                <w:b/>
                <w:bCs/>
              </w:rPr>
              <w:t>.</w:t>
            </w:r>
          </w:p>
          <w:p w14:paraId="12F01B8C" w14:textId="0DE1D839" w:rsidR="00BE04C8" w:rsidRPr="006E0E1A" w:rsidRDefault="00BE04C8" w:rsidP="00AB7B72">
            <w:pPr>
              <w:rPr>
                <w:rFonts w:asciiTheme="minorHAnsi" w:hAnsiTheme="minorHAnsi" w:cstheme="minorHAnsi"/>
                <w:b/>
                <w:bCs/>
                <w:lang w:val="it-IT"/>
              </w:rPr>
            </w:pPr>
          </w:p>
        </w:tc>
      </w:tr>
      <w:tr w:rsidR="00E04950" w:rsidRPr="00B42B2B" w14:paraId="01424871" w14:textId="77777777" w:rsidTr="00E04950">
        <w:tc>
          <w:tcPr>
            <w:tcW w:w="6946" w:type="dxa"/>
          </w:tcPr>
          <w:p w14:paraId="4099BAFE" w14:textId="77777777" w:rsidR="006A7303" w:rsidRPr="00BC77CA" w:rsidRDefault="006A7303" w:rsidP="006A7303">
            <w:pPr>
              <w:autoSpaceDE w:val="0"/>
              <w:autoSpaceDN w:val="0"/>
              <w:adjustRightInd w:val="0"/>
              <w:rPr>
                <w:rFonts w:asciiTheme="minorHAnsi" w:hAnsiTheme="minorHAnsi" w:cstheme="minorHAnsi"/>
                <w:u w:val="single"/>
                <w:lang w:val="it-IT"/>
              </w:rPr>
            </w:pPr>
            <w:r w:rsidRPr="00BC77CA">
              <w:rPr>
                <w:rFonts w:asciiTheme="minorHAnsi" w:hAnsiTheme="minorHAnsi" w:cstheme="minorHAnsi"/>
                <w:u w:val="single"/>
                <w:lang w:val="it-IT"/>
              </w:rPr>
              <w:t>Precedente trattamento con terapia anti-CD19</w:t>
            </w:r>
          </w:p>
          <w:p w14:paraId="262633F1" w14:textId="77777777" w:rsidR="00D351F1" w:rsidRDefault="006A7303" w:rsidP="00BC77CA">
            <w:pPr>
              <w:autoSpaceDE w:val="0"/>
              <w:autoSpaceDN w:val="0"/>
              <w:adjustRightInd w:val="0"/>
              <w:rPr>
                <w:rFonts w:asciiTheme="minorHAnsi" w:hAnsiTheme="minorHAnsi" w:cstheme="minorHAnsi"/>
                <w:lang w:val="it-IT"/>
              </w:rPr>
            </w:pPr>
            <w:r w:rsidRPr="00DB1028">
              <w:rPr>
                <w:rFonts w:asciiTheme="minorHAnsi" w:eastAsia="TimesNewRomanPSMT" w:hAnsiTheme="minorHAnsi" w:cstheme="minorHAnsi"/>
                <w:lang w:val="it-IT"/>
              </w:rPr>
              <w:t xml:space="preserve">L’esperienza con </w:t>
            </w:r>
            <w:proofErr w:type="spellStart"/>
            <w:r w:rsidRPr="00DB1028">
              <w:rPr>
                <w:rFonts w:asciiTheme="minorHAnsi" w:eastAsia="TimesNewRomanPSMT" w:hAnsiTheme="minorHAnsi" w:cstheme="minorHAnsi"/>
                <w:lang w:val="it-IT"/>
              </w:rPr>
              <w:t>Kymriah</w:t>
            </w:r>
            <w:proofErr w:type="spellEnd"/>
            <w:r w:rsidRPr="00DB1028">
              <w:rPr>
                <w:rFonts w:asciiTheme="minorHAnsi" w:eastAsia="TimesNewRomanPSMT" w:hAnsiTheme="minorHAnsi" w:cstheme="minorHAnsi"/>
                <w:lang w:val="it-IT"/>
              </w:rPr>
              <w:t xml:space="preserve"> in </w:t>
            </w:r>
            <w:r w:rsidRPr="00DB1028">
              <w:rPr>
                <w:rFonts w:asciiTheme="minorHAnsi" w:hAnsiTheme="minorHAnsi" w:cstheme="minorHAnsi"/>
                <w:lang w:val="it-IT"/>
              </w:rPr>
              <w:t xml:space="preserve">pazienti esposti a precedente terapia anti-CD19 è limitata. </w:t>
            </w:r>
          </w:p>
          <w:p w14:paraId="7209F878" w14:textId="77777777" w:rsidR="00D351F1" w:rsidRDefault="00D351F1" w:rsidP="00BC77CA">
            <w:pPr>
              <w:autoSpaceDE w:val="0"/>
              <w:autoSpaceDN w:val="0"/>
              <w:adjustRightInd w:val="0"/>
              <w:rPr>
                <w:rFonts w:asciiTheme="minorHAnsi" w:hAnsiTheme="minorHAnsi" w:cstheme="minorHAnsi"/>
                <w:lang w:val="it-IT"/>
              </w:rPr>
            </w:pPr>
          </w:p>
          <w:p w14:paraId="78787A72" w14:textId="77777777" w:rsidR="00D351F1" w:rsidRDefault="00D351F1" w:rsidP="00BC77CA">
            <w:pPr>
              <w:autoSpaceDE w:val="0"/>
              <w:autoSpaceDN w:val="0"/>
              <w:adjustRightInd w:val="0"/>
              <w:rPr>
                <w:rFonts w:asciiTheme="minorHAnsi" w:hAnsiTheme="minorHAnsi" w:cstheme="minorHAnsi"/>
                <w:lang w:val="it-IT"/>
              </w:rPr>
            </w:pPr>
          </w:p>
          <w:p w14:paraId="03BD3D35" w14:textId="77777777" w:rsidR="0054137D" w:rsidRDefault="006A7303" w:rsidP="00BC77CA">
            <w:pPr>
              <w:autoSpaceDE w:val="0"/>
              <w:autoSpaceDN w:val="0"/>
              <w:adjustRightInd w:val="0"/>
              <w:rPr>
                <w:rFonts w:asciiTheme="minorHAnsi" w:hAnsiTheme="minorHAnsi" w:cstheme="minorHAnsi"/>
                <w:lang w:val="it-IT"/>
              </w:rPr>
            </w:pPr>
            <w:proofErr w:type="spellStart"/>
            <w:r w:rsidRPr="00DB1028">
              <w:rPr>
                <w:rFonts w:asciiTheme="minorHAnsi" w:hAnsiTheme="minorHAnsi" w:cstheme="minorHAnsi"/>
                <w:lang w:val="it-IT"/>
              </w:rPr>
              <w:t>Kymriah</w:t>
            </w:r>
            <w:proofErr w:type="spellEnd"/>
            <w:r w:rsidRPr="00DB1028">
              <w:rPr>
                <w:rFonts w:asciiTheme="minorHAnsi" w:hAnsiTheme="minorHAnsi" w:cstheme="minorHAnsi"/>
                <w:lang w:val="it-IT"/>
              </w:rPr>
              <w:t xml:space="preserve"> non</w:t>
            </w:r>
            <w:r w:rsidR="00BC77CA">
              <w:rPr>
                <w:rFonts w:asciiTheme="minorHAnsi" w:hAnsiTheme="minorHAnsi" w:cstheme="minorHAnsi"/>
                <w:lang w:val="it-IT"/>
              </w:rPr>
              <w:t xml:space="preserve"> </w:t>
            </w:r>
            <w:r w:rsidRPr="00DB1028">
              <w:rPr>
                <w:rFonts w:asciiTheme="minorHAnsi" w:hAnsiTheme="minorHAnsi" w:cstheme="minorHAnsi"/>
                <w:lang w:val="it-IT"/>
              </w:rPr>
              <w:t>è raccomandato nel paziente con recidiva di leucemia CD19-negativa dopo precedente terapia</w:t>
            </w:r>
            <w:r w:rsidR="00BC77CA">
              <w:rPr>
                <w:rFonts w:asciiTheme="minorHAnsi" w:hAnsiTheme="minorHAnsi" w:cstheme="minorHAnsi"/>
                <w:lang w:val="it-IT"/>
              </w:rPr>
              <w:t xml:space="preserve"> </w:t>
            </w:r>
            <w:r w:rsidRPr="00DB1028">
              <w:rPr>
                <w:rFonts w:asciiTheme="minorHAnsi" w:hAnsiTheme="minorHAnsi" w:cstheme="minorHAnsi"/>
                <w:lang w:val="it-IT"/>
              </w:rPr>
              <w:t>anti-CD19.</w:t>
            </w:r>
          </w:p>
          <w:p w14:paraId="3F10ED3B" w14:textId="261EB973" w:rsidR="00BE04C8" w:rsidRPr="00DB1028" w:rsidRDefault="00BE04C8" w:rsidP="00BC77CA">
            <w:pPr>
              <w:autoSpaceDE w:val="0"/>
              <w:autoSpaceDN w:val="0"/>
              <w:adjustRightInd w:val="0"/>
              <w:rPr>
                <w:rFonts w:asciiTheme="minorHAnsi" w:hAnsiTheme="minorHAnsi" w:cstheme="minorHAnsi"/>
                <w:lang w:val="it-IT"/>
              </w:rPr>
            </w:pPr>
          </w:p>
        </w:tc>
        <w:tc>
          <w:tcPr>
            <w:tcW w:w="7230" w:type="dxa"/>
          </w:tcPr>
          <w:p w14:paraId="0F3479F2" w14:textId="77777777" w:rsidR="0004678D" w:rsidRPr="00DB1028" w:rsidRDefault="0004678D" w:rsidP="0004678D">
            <w:pPr>
              <w:pStyle w:val="Default"/>
              <w:rPr>
                <w:rFonts w:asciiTheme="minorHAnsi" w:hAnsiTheme="minorHAnsi" w:cstheme="minorHAnsi"/>
                <w:sz w:val="20"/>
                <w:szCs w:val="20"/>
                <w:u w:val="single"/>
              </w:rPr>
            </w:pPr>
            <w:r w:rsidRPr="00DB1028">
              <w:rPr>
                <w:rFonts w:asciiTheme="minorHAnsi" w:hAnsiTheme="minorHAnsi" w:cstheme="minorHAnsi"/>
                <w:sz w:val="20"/>
                <w:szCs w:val="20"/>
                <w:u w:val="single"/>
              </w:rPr>
              <w:t xml:space="preserve">Precedente trattamento con terapia anti-CD19 </w:t>
            </w:r>
          </w:p>
          <w:p w14:paraId="79221E01" w14:textId="77777777" w:rsidR="00D351F1" w:rsidRDefault="0004678D" w:rsidP="0004678D">
            <w:pPr>
              <w:rPr>
                <w:rFonts w:asciiTheme="minorHAnsi" w:hAnsiTheme="minorHAnsi" w:cstheme="minorHAnsi"/>
                <w:lang w:val="it-IT"/>
              </w:rPr>
            </w:pPr>
            <w:r w:rsidRPr="00DB1028">
              <w:rPr>
                <w:rFonts w:asciiTheme="minorHAnsi" w:hAnsiTheme="minorHAnsi" w:cstheme="minorHAnsi"/>
                <w:lang w:val="it-IT"/>
              </w:rPr>
              <w:t xml:space="preserve">L’esperienza con </w:t>
            </w:r>
            <w:proofErr w:type="spellStart"/>
            <w:r w:rsidRPr="00DB1028">
              <w:rPr>
                <w:rFonts w:asciiTheme="minorHAnsi" w:hAnsiTheme="minorHAnsi" w:cstheme="minorHAnsi"/>
                <w:lang w:val="it-IT"/>
              </w:rPr>
              <w:t>Kymriah</w:t>
            </w:r>
            <w:proofErr w:type="spellEnd"/>
            <w:r w:rsidRPr="00DB1028">
              <w:rPr>
                <w:rFonts w:asciiTheme="minorHAnsi" w:hAnsiTheme="minorHAnsi" w:cstheme="minorHAnsi"/>
                <w:lang w:val="it-IT"/>
              </w:rPr>
              <w:t xml:space="preserve"> in pazienti esposti a precedente terapia anti-CD19 è limitata. </w:t>
            </w:r>
            <w:r w:rsidRPr="0015112E">
              <w:rPr>
                <w:rFonts w:asciiTheme="minorHAnsi" w:hAnsiTheme="minorHAnsi" w:cstheme="minorHAnsi"/>
                <w:b/>
                <w:bCs/>
                <w:lang w:val="it-IT"/>
              </w:rPr>
              <w:t xml:space="preserve">Sebbene un’attività di </w:t>
            </w:r>
            <w:proofErr w:type="spellStart"/>
            <w:r w:rsidRPr="0015112E">
              <w:rPr>
                <w:rFonts w:asciiTheme="minorHAnsi" w:hAnsiTheme="minorHAnsi" w:cstheme="minorHAnsi"/>
                <w:b/>
                <w:bCs/>
                <w:lang w:val="it-IT"/>
              </w:rPr>
              <w:t>tisagenlecleucel</w:t>
            </w:r>
            <w:proofErr w:type="spellEnd"/>
            <w:r w:rsidRPr="0015112E">
              <w:rPr>
                <w:rFonts w:asciiTheme="minorHAnsi" w:hAnsiTheme="minorHAnsi" w:cstheme="minorHAnsi"/>
                <w:b/>
                <w:bCs/>
                <w:lang w:val="it-IT"/>
              </w:rPr>
              <w:t xml:space="preserve"> sia stata osservata, i dati sono attualmente troppo limitati per fare una valutazione adeguata del profilo beneficio/rischio in questi pazienti</w:t>
            </w:r>
            <w:r w:rsidRPr="00DB1028">
              <w:rPr>
                <w:rFonts w:asciiTheme="minorHAnsi" w:hAnsiTheme="minorHAnsi" w:cstheme="minorHAnsi"/>
                <w:lang w:val="it-IT"/>
              </w:rPr>
              <w:t xml:space="preserve">. </w:t>
            </w:r>
          </w:p>
          <w:p w14:paraId="0769CF4C" w14:textId="40FE5C27" w:rsidR="0054137D" w:rsidRPr="00DB1028" w:rsidRDefault="0004678D" w:rsidP="0004678D">
            <w:pPr>
              <w:rPr>
                <w:rFonts w:asciiTheme="minorHAnsi" w:hAnsiTheme="minorHAnsi" w:cstheme="minorHAnsi"/>
                <w:lang w:val="it-IT"/>
              </w:rPr>
            </w:pPr>
            <w:proofErr w:type="spellStart"/>
            <w:r w:rsidRPr="00DB1028">
              <w:rPr>
                <w:rFonts w:asciiTheme="minorHAnsi" w:hAnsiTheme="minorHAnsi" w:cstheme="minorHAnsi"/>
                <w:lang w:val="it-IT"/>
              </w:rPr>
              <w:t>Kymriah</w:t>
            </w:r>
            <w:proofErr w:type="spellEnd"/>
            <w:r w:rsidRPr="00DB1028">
              <w:rPr>
                <w:rFonts w:asciiTheme="minorHAnsi" w:hAnsiTheme="minorHAnsi" w:cstheme="minorHAnsi"/>
                <w:lang w:val="it-IT"/>
              </w:rPr>
              <w:t xml:space="preserve"> non è raccomandato nel paziente con recidiva di leucemia CD19-negativa dopo precedente terapia anti-CD19.</w:t>
            </w:r>
          </w:p>
        </w:tc>
      </w:tr>
      <w:tr w:rsidR="00B066D4" w:rsidRPr="00D351F1" w14:paraId="2EE7B49F" w14:textId="77777777" w:rsidTr="00FA1230">
        <w:tc>
          <w:tcPr>
            <w:tcW w:w="14176" w:type="dxa"/>
            <w:gridSpan w:val="2"/>
          </w:tcPr>
          <w:p w14:paraId="345B5564" w14:textId="57636597" w:rsidR="00B066D4" w:rsidRPr="00DB1028" w:rsidRDefault="00B066D4" w:rsidP="00B066D4">
            <w:pPr>
              <w:pStyle w:val="Default"/>
              <w:jc w:val="center"/>
              <w:rPr>
                <w:rFonts w:asciiTheme="minorHAnsi" w:hAnsiTheme="minorHAnsi" w:cstheme="minorHAnsi"/>
                <w:sz w:val="20"/>
                <w:szCs w:val="20"/>
                <w:u w:val="single"/>
              </w:rPr>
            </w:pPr>
            <w:r w:rsidRPr="00B066D4">
              <w:rPr>
                <w:rFonts w:asciiTheme="minorHAnsi" w:hAnsiTheme="minorHAnsi" w:cstheme="minorHAnsi"/>
                <w:color w:val="FF0000"/>
              </w:rPr>
              <w:t>Sezione 4.8</w:t>
            </w:r>
          </w:p>
        </w:tc>
      </w:tr>
      <w:tr w:rsidR="00E04950" w:rsidRPr="00B42B2B" w14:paraId="75ED0508" w14:textId="77777777" w:rsidTr="00E04950">
        <w:tc>
          <w:tcPr>
            <w:tcW w:w="6946" w:type="dxa"/>
          </w:tcPr>
          <w:p w14:paraId="2EF52162" w14:textId="77777777" w:rsidR="00D351F1" w:rsidRPr="00DB1028" w:rsidRDefault="00D351F1" w:rsidP="00D351F1">
            <w:pPr>
              <w:pStyle w:val="Default"/>
              <w:rPr>
                <w:rFonts w:asciiTheme="minorHAnsi" w:hAnsiTheme="minorHAnsi" w:cstheme="minorHAnsi"/>
                <w:sz w:val="20"/>
                <w:szCs w:val="20"/>
                <w:u w:val="single"/>
              </w:rPr>
            </w:pPr>
            <w:r w:rsidRPr="00DB1028">
              <w:rPr>
                <w:rFonts w:asciiTheme="minorHAnsi" w:hAnsiTheme="minorHAnsi" w:cstheme="minorHAnsi"/>
                <w:sz w:val="20"/>
                <w:szCs w:val="20"/>
                <w:u w:val="single"/>
              </w:rPr>
              <w:t xml:space="preserve">Riassunto del profilo di sicurezza </w:t>
            </w:r>
          </w:p>
          <w:p w14:paraId="42D0FA39" w14:textId="77777777" w:rsidR="00D434CB" w:rsidRPr="00DB1028" w:rsidRDefault="00D434CB" w:rsidP="00D434CB">
            <w:pPr>
              <w:autoSpaceDE w:val="0"/>
              <w:autoSpaceDN w:val="0"/>
              <w:adjustRightInd w:val="0"/>
              <w:rPr>
                <w:rFonts w:asciiTheme="minorHAnsi" w:hAnsiTheme="minorHAnsi" w:cstheme="minorHAnsi"/>
                <w:lang w:val="it-IT"/>
              </w:rPr>
            </w:pPr>
            <w:r w:rsidRPr="00DB1028">
              <w:rPr>
                <w:rFonts w:asciiTheme="minorHAnsi" w:hAnsiTheme="minorHAnsi" w:cstheme="minorHAnsi"/>
                <w:lang w:val="it-IT"/>
              </w:rPr>
              <w:t xml:space="preserve">La valutazione di sicurezza si basa su un totale </w:t>
            </w:r>
            <w:r w:rsidRPr="00D434CB">
              <w:rPr>
                <w:rFonts w:asciiTheme="minorHAnsi" w:hAnsiTheme="minorHAnsi" w:cstheme="minorHAnsi"/>
                <w:highlight w:val="yellow"/>
                <w:lang w:val="it-IT"/>
              </w:rPr>
              <w:t>di 291 pazienti</w:t>
            </w:r>
            <w:r w:rsidRPr="00DB1028">
              <w:rPr>
                <w:rFonts w:asciiTheme="minorHAnsi" w:hAnsiTheme="minorHAnsi" w:cstheme="minorHAnsi"/>
                <w:lang w:val="it-IT"/>
              </w:rPr>
              <w:t xml:space="preserve"> (pazienti pediatrici e giovani adulti con LLA a cellule B, pazienti adulti con DLBCL e pazienti adulti con LF) che hanno ricevuto </w:t>
            </w:r>
            <w:proofErr w:type="spellStart"/>
            <w:r w:rsidRPr="00DB1028">
              <w:rPr>
                <w:rFonts w:asciiTheme="minorHAnsi" w:hAnsiTheme="minorHAnsi" w:cstheme="minorHAnsi"/>
                <w:lang w:val="it-IT"/>
              </w:rPr>
              <w:t>Kymriah</w:t>
            </w:r>
            <w:proofErr w:type="spellEnd"/>
            <w:r w:rsidRPr="00DB1028">
              <w:rPr>
                <w:rFonts w:asciiTheme="minorHAnsi" w:hAnsiTheme="minorHAnsi" w:cstheme="minorHAnsi"/>
                <w:lang w:val="it-IT"/>
              </w:rPr>
              <w:t xml:space="preserve"> in tre studi clinici registrativi multicentrici.</w:t>
            </w:r>
          </w:p>
          <w:p w14:paraId="66E1C282" w14:textId="77777777" w:rsidR="0054137D" w:rsidRPr="00DB1028" w:rsidRDefault="0054137D">
            <w:pPr>
              <w:rPr>
                <w:rFonts w:asciiTheme="minorHAnsi" w:hAnsiTheme="minorHAnsi" w:cstheme="minorHAnsi"/>
                <w:lang w:val="it-IT"/>
              </w:rPr>
            </w:pPr>
          </w:p>
        </w:tc>
        <w:tc>
          <w:tcPr>
            <w:tcW w:w="7230" w:type="dxa"/>
          </w:tcPr>
          <w:p w14:paraId="5451C29A" w14:textId="77777777" w:rsidR="00A53064" w:rsidRPr="00DB1028" w:rsidRDefault="00A53064" w:rsidP="00A53064">
            <w:pPr>
              <w:pStyle w:val="Default"/>
              <w:rPr>
                <w:rFonts w:asciiTheme="minorHAnsi" w:hAnsiTheme="minorHAnsi" w:cstheme="minorHAnsi"/>
                <w:sz w:val="20"/>
                <w:szCs w:val="20"/>
                <w:u w:val="single"/>
              </w:rPr>
            </w:pPr>
            <w:r w:rsidRPr="00DB1028">
              <w:rPr>
                <w:rFonts w:asciiTheme="minorHAnsi" w:hAnsiTheme="minorHAnsi" w:cstheme="minorHAnsi"/>
                <w:sz w:val="20"/>
                <w:szCs w:val="20"/>
                <w:u w:val="single"/>
              </w:rPr>
              <w:t xml:space="preserve">Riassunto del profilo di sicurezza </w:t>
            </w:r>
          </w:p>
          <w:p w14:paraId="7DEFDC8D" w14:textId="5FA36396" w:rsidR="0054137D" w:rsidRPr="00DB1028" w:rsidRDefault="00A53064" w:rsidP="00A53064">
            <w:pPr>
              <w:rPr>
                <w:rFonts w:asciiTheme="minorHAnsi" w:hAnsiTheme="minorHAnsi" w:cstheme="minorHAnsi"/>
                <w:lang w:val="it-IT"/>
              </w:rPr>
            </w:pPr>
            <w:r w:rsidRPr="00DB1028">
              <w:rPr>
                <w:rFonts w:asciiTheme="minorHAnsi" w:hAnsiTheme="minorHAnsi" w:cstheme="minorHAnsi"/>
                <w:lang w:val="it-IT"/>
              </w:rPr>
              <w:t xml:space="preserve">La valutazione di sicurezza si basa su un totale </w:t>
            </w:r>
            <w:r w:rsidRPr="00D434CB">
              <w:rPr>
                <w:rFonts w:asciiTheme="minorHAnsi" w:hAnsiTheme="minorHAnsi" w:cstheme="minorHAnsi"/>
                <w:b/>
                <w:bCs/>
                <w:lang w:val="it-IT"/>
              </w:rPr>
              <w:t>di 424 pazienti</w:t>
            </w:r>
            <w:r w:rsidRPr="00DB1028">
              <w:rPr>
                <w:rFonts w:asciiTheme="minorHAnsi" w:hAnsiTheme="minorHAnsi" w:cstheme="minorHAnsi"/>
                <w:lang w:val="it-IT"/>
              </w:rPr>
              <w:t xml:space="preserve"> (pazienti pediatrici e giovani adulti con LLA a cellule B, pazienti adulti con DLBCL e pazienti adulti con LF) che hanno ricevuto </w:t>
            </w:r>
            <w:proofErr w:type="spellStart"/>
            <w:r w:rsidRPr="00DB1028">
              <w:rPr>
                <w:rFonts w:asciiTheme="minorHAnsi" w:hAnsiTheme="minorHAnsi" w:cstheme="minorHAnsi"/>
                <w:lang w:val="it-IT"/>
              </w:rPr>
              <w:t>Kymriah</w:t>
            </w:r>
            <w:proofErr w:type="spellEnd"/>
            <w:r w:rsidRPr="00DB1028">
              <w:rPr>
                <w:rFonts w:asciiTheme="minorHAnsi" w:hAnsiTheme="minorHAnsi" w:cstheme="minorHAnsi"/>
                <w:lang w:val="it-IT"/>
              </w:rPr>
              <w:t xml:space="preserve"> in tre studi clinici registrativi multicentrici.</w:t>
            </w:r>
          </w:p>
        </w:tc>
      </w:tr>
      <w:tr w:rsidR="00E04950" w:rsidRPr="00B42B2B" w14:paraId="0008D9C9" w14:textId="77777777" w:rsidTr="00E04950">
        <w:tc>
          <w:tcPr>
            <w:tcW w:w="6946" w:type="dxa"/>
          </w:tcPr>
          <w:p w14:paraId="1FF9A57D" w14:textId="77777777" w:rsidR="00D06947" w:rsidRPr="00DB1028" w:rsidRDefault="00D06947" w:rsidP="00D06947">
            <w:pPr>
              <w:autoSpaceDE w:val="0"/>
              <w:autoSpaceDN w:val="0"/>
              <w:adjustRightInd w:val="0"/>
              <w:rPr>
                <w:rFonts w:asciiTheme="minorHAnsi" w:hAnsiTheme="minorHAnsi" w:cstheme="minorHAnsi"/>
                <w:i/>
                <w:iCs/>
                <w:lang w:val="it-IT"/>
              </w:rPr>
            </w:pPr>
            <w:r w:rsidRPr="00DB1028">
              <w:rPr>
                <w:rFonts w:asciiTheme="minorHAnsi" w:hAnsiTheme="minorHAnsi" w:cstheme="minorHAnsi"/>
                <w:i/>
                <w:iCs/>
                <w:lang w:val="it-IT"/>
              </w:rPr>
              <w:t>LLA a cellule B</w:t>
            </w:r>
          </w:p>
          <w:p w14:paraId="2581F079" w14:textId="09D792EB" w:rsidR="00D06947" w:rsidRPr="00DB1028" w:rsidRDefault="00D06947" w:rsidP="00D06947">
            <w:pPr>
              <w:autoSpaceDE w:val="0"/>
              <w:autoSpaceDN w:val="0"/>
              <w:adjustRightInd w:val="0"/>
              <w:rPr>
                <w:rFonts w:asciiTheme="minorHAnsi" w:hAnsiTheme="minorHAnsi" w:cstheme="minorHAnsi"/>
                <w:lang w:val="it-IT"/>
              </w:rPr>
            </w:pPr>
            <w:r w:rsidRPr="00DB1028">
              <w:rPr>
                <w:rFonts w:asciiTheme="minorHAnsi" w:hAnsiTheme="minorHAnsi" w:cstheme="minorHAnsi"/>
                <w:lang w:val="it-IT"/>
              </w:rPr>
              <w:t xml:space="preserve">Le reazioni avverse descritte in questo paragrafo sono state caratterizzate </w:t>
            </w:r>
            <w:r w:rsidRPr="00B066D4">
              <w:rPr>
                <w:rFonts w:asciiTheme="minorHAnsi" w:hAnsiTheme="minorHAnsi" w:cstheme="minorHAnsi"/>
                <w:highlight w:val="yellow"/>
                <w:lang w:val="it-IT"/>
              </w:rPr>
              <w:t>in 79</w:t>
            </w:r>
            <w:r w:rsidRPr="00DB1028">
              <w:rPr>
                <w:rFonts w:asciiTheme="minorHAnsi" w:hAnsiTheme="minorHAnsi" w:cstheme="minorHAnsi"/>
                <w:lang w:val="it-IT"/>
              </w:rPr>
              <w:t xml:space="preserve"> pazienti infusi con</w:t>
            </w:r>
            <w:r w:rsidR="00D434CB">
              <w:rPr>
                <w:rFonts w:asciiTheme="minorHAnsi" w:hAnsiTheme="minorHAnsi" w:cstheme="minorHAnsi"/>
                <w:lang w:val="it-IT"/>
              </w:rPr>
              <w:t xml:space="preserve"> </w:t>
            </w:r>
            <w:proofErr w:type="spellStart"/>
            <w:r w:rsidRPr="00DB1028">
              <w:rPr>
                <w:rFonts w:asciiTheme="minorHAnsi" w:hAnsiTheme="minorHAnsi" w:cstheme="minorHAnsi"/>
                <w:lang w:val="it-IT"/>
              </w:rPr>
              <w:t>Kymriah</w:t>
            </w:r>
            <w:proofErr w:type="spellEnd"/>
            <w:r w:rsidRPr="00DB1028">
              <w:rPr>
                <w:rFonts w:asciiTheme="minorHAnsi" w:hAnsiTheme="minorHAnsi" w:cstheme="minorHAnsi"/>
                <w:lang w:val="it-IT"/>
              </w:rPr>
              <w:t xml:space="preserve"> nello studio clinico </w:t>
            </w:r>
            <w:proofErr w:type="spellStart"/>
            <w:r w:rsidRPr="00DB1028">
              <w:rPr>
                <w:rFonts w:asciiTheme="minorHAnsi" w:hAnsiTheme="minorHAnsi" w:cstheme="minorHAnsi"/>
                <w:lang w:val="it-IT"/>
              </w:rPr>
              <w:t>registrativo</w:t>
            </w:r>
            <w:proofErr w:type="spellEnd"/>
            <w:r w:rsidRPr="00DB1028">
              <w:rPr>
                <w:rFonts w:asciiTheme="minorHAnsi" w:hAnsiTheme="minorHAnsi" w:cstheme="minorHAnsi"/>
                <w:lang w:val="it-IT"/>
              </w:rPr>
              <w:t xml:space="preserve"> multicentrico CCTL019B2202.</w:t>
            </w:r>
          </w:p>
          <w:p w14:paraId="7EB0709E" w14:textId="4171AF74" w:rsidR="00D06947" w:rsidRPr="00DB1028" w:rsidRDefault="00D06947" w:rsidP="00D06947">
            <w:pPr>
              <w:autoSpaceDE w:val="0"/>
              <w:autoSpaceDN w:val="0"/>
              <w:adjustRightInd w:val="0"/>
              <w:rPr>
                <w:rFonts w:asciiTheme="minorHAnsi" w:hAnsiTheme="minorHAnsi" w:cstheme="minorHAnsi"/>
                <w:lang w:val="it-IT"/>
              </w:rPr>
            </w:pPr>
            <w:r w:rsidRPr="00DB1028">
              <w:rPr>
                <w:rFonts w:asciiTheme="minorHAnsi" w:hAnsiTheme="minorHAnsi" w:cstheme="minorHAnsi"/>
                <w:lang w:val="it-IT"/>
              </w:rPr>
              <w:t xml:space="preserve">Le reazioni avverse non ematologiche più comuni sono state sindrome da rilascio di citochine </w:t>
            </w:r>
            <w:r w:rsidRPr="00B066D4">
              <w:rPr>
                <w:rFonts w:asciiTheme="minorHAnsi" w:hAnsiTheme="minorHAnsi" w:cstheme="minorHAnsi"/>
                <w:highlight w:val="yellow"/>
                <w:lang w:val="it-IT"/>
              </w:rPr>
              <w:t>(77%),</w:t>
            </w:r>
            <w:r w:rsidR="00D434CB">
              <w:rPr>
                <w:rFonts w:asciiTheme="minorHAnsi" w:hAnsiTheme="minorHAnsi" w:cstheme="minorHAnsi"/>
                <w:lang w:val="it-IT"/>
              </w:rPr>
              <w:t xml:space="preserve"> </w:t>
            </w:r>
            <w:r w:rsidRPr="00DB1028">
              <w:rPr>
                <w:rFonts w:asciiTheme="minorHAnsi" w:hAnsiTheme="minorHAnsi" w:cstheme="minorHAnsi"/>
                <w:lang w:val="it-IT"/>
              </w:rPr>
              <w:t>infezioni (</w:t>
            </w:r>
            <w:r w:rsidRPr="00B066D4">
              <w:rPr>
                <w:rFonts w:asciiTheme="minorHAnsi" w:hAnsiTheme="minorHAnsi" w:cstheme="minorHAnsi"/>
                <w:highlight w:val="yellow"/>
                <w:lang w:val="it-IT"/>
              </w:rPr>
              <w:t>72%</w:t>
            </w:r>
            <w:r w:rsidRPr="00DB1028">
              <w:rPr>
                <w:rFonts w:asciiTheme="minorHAnsi" w:hAnsiTheme="minorHAnsi" w:cstheme="minorHAnsi"/>
                <w:lang w:val="it-IT"/>
              </w:rPr>
              <w:t xml:space="preserve">), </w:t>
            </w:r>
            <w:proofErr w:type="spellStart"/>
            <w:r w:rsidRPr="00DB1028">
              <w:rPr>
                <w:rFonts w:asciiTheme="minorHAnsi" w:hAnsiTheme="minorHAnsi" w:cstheme="minorHAnsi"/>
                <w:lang w:val="it-IT"/>
              </w:rPr>
              <w:t>ipogammaglobulinemia</w:t>
            </w:r>
            <w:proofErr w:type="spellEnd"/>
            <w:r w:rsidRPr="00DB1028">
              <w:rPr>
                <w:rFonts w:asciiTheme="minorHAnsi" w:hAnsiTheme="minorHAnsi" w:cstheme="minorHAnsi"/>
                <w:lang w:val="it-IT"/>
              </w:rPr>
              <w:t xml:space="preserve"> (</w:t>
            </w:r>
            <w:r w:rsidRPr="00B066D4">
              <w:rPr>
                <w:rFonts w:asciiTheme="minorHAnsi" w:hAnsiTheme="minorHAnsi" w:cstheme="minorHAnsi"/>
                <w:highlight w:val="yellow"/>
                <w:lang w:val="it-IT"/>
              </w:rPr>
              <w:t>53%</w:t>
            </w:r>
            <w:r w:rsidRPr="00DB1028">
              <w:rPr>
                <w:rFonts w:asciiTheme="minorHAnsi" w:hAnsiTheme="minorHAnsi" w:cstheme="minorHAnsi"/>
                <w:lang w:val="it-IT"/>
              </w:rPr>
              <w:t>), piressia (</w:t>
            </w:r>
            <w:r w:rsidRPr="00B066D4">
              <w:rPr>
                <w:rFonts w:asciiTheme="minorHAnsi" w:hAnsiTheme="minorHAnsi" w:cstheme="minorHAnsi"/>
                <w:highlight w:val="yellow"/>
                <w:lang w:val="it-IT"/>
              </w:rPr>
              <w:t>42%</w:t>
            </w:r>
            <w:r w:rsidRPr="00DB1028">
              <w:rPr>
                <w:rFonts w:asciiTheme="minorHAnsi" w:hAnsiTheme="minorHAnsi" w:cstheme="minorHAnsi"/>
                <w:lang w:val="it-IT"/>
              </w:rPr>
              <w:t xml:space="preserve">) e diminuzione </w:t>
            </w:r>
            <w:r w:rsidRPr="00DB1028">
              <w:rPr>
                <w:rFonts w:asciiTheme="minorHAnsi" w:eastAsia="TimesNewRomanPSMT" w:hAnsiTheme="minorHAnsi" w:cstheme="minorHAnsi"/>
                <w:lang w:val="it-IT"/>
              </w:rPr>
              <w:t>dell’appetito (</w:t>
            </w:r>
            <w:r w:rsidRPr="00B066D4">
              <w:rPr>
                <w:rFonts w:asciiTheme="minorHAnsi" w:hAnsiTheme="minorHAnsi" w:cstheme="minorHAnsi"/>
                <w:highlight w:val="yellow"/>
                <w:lang w:val="it-IT"/>
              </w:rPr>
              <w:t>38%</w:t>
            </w:r>
            <w:r w:rsidRPr="00DB1028">
              <w:rPr>
                <w:rFonts w:asciiTheme="minorHAnsi" w:hAnsiTheme="minorHAnsi" w:cstheme="minorHAnsi"/>
                <w:lang w:val="it-IT"/>
              </w:rPr>
              <w:t>).</w:t>
            </w:r>
          </w:p>
          <w:p w14:paraId="21105F0C" w14:textId="71C32BC5" w:rsidR="00D06947" w:rsidRPr="00DB1028" w:rsidRDefault="00D06947" w:rsidP="00D06947">
            <w:pPr>
              <w:autoSpaceDE w:val="0"/>
              <w:autoSpaceDN w:val="0"/>
              <w:adjustRightInd w:val="0"/>
              <w:rPr>
                <w:rFonts w:asciiTheme="minorHAnsi" w:hAnsiTheme="minorHAnsi" w:cstheme="minorHAnsi"/>
                <w:lang w:val="it-IT"/>
              </w:rPr>
            </w:pPr>
            <w:r w:rsidRPr="00DB1028">
              <w:rPr>
                <w:rFonts w:asciiTheme="minorHAnsi" w:hAnsiTheme="minorHAnsi" w:cstheme="minorHAnsi"/>
                <w:lang w:val="it-IT"/>
              </w:rPr>
              <w:t>Le anomalie ematologiche di laboratorio più comuni sono state diminuzione dei globuli bianchi</w:t>
            </w:r>
            <w:r w:rsidR="00D434CB">
              <w:rPr>
                <w:rFonts w:asciiTheme="minorHAnsi" w:hAnsiTheme="minorHAnsi" w:cstheme="minorHAnsi"/>
                <w:lang w:val="it-IT"/>
              </w:rPr>
              <w:t xml:space="preserve"> </w:t>
            </w:r>
            <w:r w:rsidRPr="00DB1028">
              <w:rPr>
                <w:rFonts w:asciiTheme="minorHAnsi" w:eastAsia="TimesNewRomanPSMT" w:hAnsiTheme="minorHAnsi" w:cstheme="minorHAnsi"/>
                <w:lang w:val="it-IT"/>
              </w:rPr>
              <w:t>(100%), diminuzione dell’emoglobina (100%), diminuzione dei neutrofili (100%), diminuzione dei</w:t>
            </w:r>
            <w:r w:rsidR="00D434CB">
              <w:rPr>
                <w:rFonts w:asciiTheme="minorHAnsi" w:eastAsia="TimesNewRomanPSMT" w:hAnsiTheme="minorHAnsi" w:cstheme="minorHAnsi"/>
                <w:lang w:val="it-IT"/>
              </w:rPr>
              <w:t xml:space="preserve"> </w:t>
            </w:r>
            <w:r w:rsidRPr="00DB1028">
              <w:rPr>
                <w:rFonts w:asciiTheme="minorHAnsi" w:hAnsiTheme="minorHAnsi" w:cstheme="minorHAnsi"/>
                <w:lang w:val="it-IT"/>
              </w:rPr>
              <w:t>linfociti (100%) e diminuzione delle piastrine (</w:t>
            </w:r>
            <w:r w:rsidRPr="0079103E">
              <w:rPr>
                <w:rFonts w:asciiTheme="minorHAnsi" w:hAnsiTheme="minorHAnsi" w:cstheme="minorHAnsi"/>
                <w:highlight w:val="yellow"/>
                <w:lang w:val="it-IT"/>
              </w:rPr>
              <w:t>97%</w:t>
            </w:r>
            <w:r w:rsidRPr="00DB1028">
              <w:rPr>
                <w:rFonts w:asciiTheme="minorHAnsi" w:hAnsiTheme="minorHAnsi" w:cstheme="minorHAnsi"/>
                <w:lang w:val="it-IT"/>
              </w:rPr>
              <w:t>).</w:t>
            </w:r>
            <w:r w:rsidR="006A578A">
              <w:rPr>
                <w:rFonts w:asciiTheme="minorHAnsi" w:hAnsiTheme="minorHAnsi" w:cstheme="minorHAnsi"/>
                <w:lang w:val="it-IT"/>
              </w:rPr>
              <w:t xml:space="preserve"> </w:t>
            </w:r>
            <w:r w:rsidRPr="00DB1028">
              <w:rPr>
                <w:rFonts w:asciiTheme="minorHAnsi" w:hAnsiTheme="minorHAnsi" w:cstheme="minorHAnsi"/>
                <w:lang w:val="it-IT"/>
              </w:rPr>
              <w:t xml:space="preserve">Reazioni avverse di Grado </w:t>
            </w:r>
            <w:r w:rsidRPr="00DB1028">
              <w:rPr>
                <w:rFonts w:asciiTheme="minorHAnsi" w:eastAsia="TimesNewRomanPSMT" w:hAnsiTheme="minorHAnsi" w:cstheme="minorHAnsi"/>
                <w:lang w:val="it-IT"/>
              </w:rPr>
              <w:t>3 e 4 sono state riportate nell’</w:t>
            </w:r>
            <w:r w:rsidRPr="009D0F4E">
              <w:rPr>
                <w:rFonts w:asciiTheme="minorHAnsi" w:hAnsiTheme="minorHAnsi" w:cstheme="minorHAnsi"/>
                <w:highlight w:val="yellow"/>
                <w:lang w:val="it-IT"/>
              </w:rPr>
              <w:t>89</w:t>
            </w:r>
            <w:r w:rsidRPr="00DB1028">
              <w:rPr>
                <w:rFonts w:asciiTheme="minorHAnsi" w:hAnsiTheme="minorHAnsi" w:cstheme="minorHAnsi"/>
                <w:lang w:val="it-IT"/>
              </w:rPr>
              <w:t>% dei pazienti. La reazione avversa non</w:t>
            </w:r>
            <w:r w:rsidR="006A578A">
              <w:rPr>
                <w:rFonts w:asciiTheme="minorHAnsi" w:hAnsiTheme="minorHAnsi" w:cstheme="minorHAnsi"/>
                <w:lang w:val="it-IT"/>
              </w:rPr>
              <w:t xml:space="preserve"> </w:t>
            </w:r>
            <w:r w:rsidRPr="00DB1028">
              <w:rPr>
                <w:rFonts w:asciiTheme="minorHAnsi" w:hAnsiTheme="minorHAnsi" w:cstheme="minorHAnsi"/>
                <w:lang w:val="it-IT"/>
              </w:rPr>
              <w:t>ematologica di Grado 3 e 4 più comune è stata la sindrome da rilascio di citochine (</w:t>
            </w:r>
            <w:r w:rsidRPr="009D0F4E">
              <w:rPr>
                <w:rFonts w:asciiTheme="minorHAnsi" w:hAnsiTheme="minorHAnsi" w:cstheme="minorHAnsi"/>
                <w:highlight w:val="yellow"/>
                <w:lang w:val="it-IT"/>
              </w:rPr>
              <w:t>48%</w:t>
            </w:r>
            <w:r w:rsidRPr="00DB1028">
              <w:rPr>
                <w:rFonts w:asciiTheme="minorHAnsi" w:hAnsiTheme="minorHAnsi" w:cstheme="minorHAnsi"/>
                <w:lang w:val="it-IT"/>
              </w:rPr>
              <w:t>).</w:t>
            </w:r>
          </w:p>
          <w:p w14:paraId="1AEAE0BA" w14:textId="74F65430" w:rsidR="00D06947" w:rsidRPr="00DB1028" w:rsidRDefault="00D06947" w:rsidP="00D06947">
            <w:pPr>
              <w:autoSpaceDE w:val="0"/>
              <w:autoSpaceDN w:val="0"/>
              <w:adjustRightInd w:val="0"/>
              <w:rPr>
                <w:rFonts w:asciiTheme="minorHAnsi" w:hAnsiTheme="minorHAnsi" w:cstheme="minorHAnsi"/>
                <w:lang w:val="it-IT"/>
              </w:rPr>
            </w:pPr>
            <w:r w:rsidRPr="00DB1028">
              <w:rPr>
                <w:rFonts w:asciiTheme="minorHAnsi" w:hAnsiTheme="minorHAnsi" w:cstheme="minorHAnsi"/>
                <w:lang w:val="it-IT"/>
              </w:rPr>
              <w:t>Le anomalie ematologiche di laboratorio di Grado 3 e 4 più comuni sono state diminuzione dei globuli</w:t>
            </w:r>
            <w:r w:rsidR="006A578A">
              <w:rPr>
                <w:rFonts w:asciiTheme="minorHAnsi" w:hAnsiTheme="minorHAnsi" w:cstheme="minorHAnsi"/>
                <w:lang w:val="it-IT"/>
              </w:rPr>
              <w:t xml:space="preserve"> </w:t>
            </w:r>
            <w:r w:rsidRPr="00DB1028">
              <w:rPr>
                <w:rFonts w:asciiTheme="minorHAnsi" w:hAnsiTheme="minorHAnsi" w:cstheme="minorHAnsi"/>
                <w:lang w:val="it-IT"/>
              </w:rPr>
              <w:t>bianchi (97%), diminuzione dei linfociti (</w:t>
            </w:r>
            <w:r w:rsidRPr="009D0F4E">
              <w:rPr>
                <w:rFonts w:asciiTheme="minorHAnsi" w:hAnsiTheme="minorHAnsi" w:cstheme="minorHAnsi"/>
                <w:highlight w:val="yellow"/>
                <w:lang w:val="it-IT"/>
              </w:rPr>
              <w:t>96%</w:t>
            </w:r>
            <w:r w:rsidRPr="00DB1028">
              <w:rPr>
                <w:rFonts w:asciiTheme="minorHAnsi" w:hAnsiTheme="minorHAnsi" w:cstheme="minorHAnsi"/>
                <w:lang w:val="it-IT"/>
              </w:rPr>
              <w:t>), diminuzione dei neutrofili (</w:t>
            </w:r>
            <w:r w:rsidRPr="009D0F4E">
              <w:rPr>
                <w:rFonts w:asciiTheme="minorHAnsi" w:hAnsiTheme="minorHAnsi" w:cstheme="minorHAnsi"/>
                <w:highlight w:val="yellow"/>
                <w:lang w:val="it-IT"/>
              </w:rPr>
              <w:t>95%</w:t>
            </w:r>
            <w:r w:rsidRPr="00DB1028">
              <w:rPr>
                <w:rFonts w:asciiTheme="minorHAnsi" w:hAnsiTheme="minorHAnsi" w:cstheme="minorHAnsi"/>
                <w:lang w:val="it-IT"/>
              </w:rPr>
              <w:t>), diminuzione delle</w:t>
            </w:r>
            <w:r w:rsidR="006A578A">
              <w:rPr>
                <w:rFonts w:asciiTheme="minorHAnsi" w:hAnsiTheme="minorHAnsi" w:cstheme="minorHAnsi"/>
                <w:lang w:val="it-IT"/>
              </w:rPr>
              <w:t xml:space="preserve"> </w:t>
            </w:r>
            <w:r w:rsidRPr="00DB1028">
              <w:rPr>
                <w:rFonts w:asciiTheme="minorHAnsi" w:hAnsiTheme="minorHAnsi" w:cstheme="minorHAnsi"/>
                <w:lang w:val="it-IT"/>
              </w:rPr>
              <w:t>piastrine (</w:t>
            </w:r>
            <w:r w:rsidRPr="009D0F4E">
              <w:rPr>
                <w:rFonts w:asciiTheme="minorHAnsi" w:hAnsiTheme="minorHAnsi" w:cstheme="minorHAnsi"/>
                <w:highlight w:val="yellow"/>
                <w:lang w:val="it-IT"/>
              </w:rPr>
              <w:t>77%</w:t>
            </w:r>
            <w:r w:rsidRPr="00DB1028">
              <w:rPr>
                <w:rFonts w:asciiTheme="minorHAnsi" w:hAnsiTheme="minorHAnsi" w:cstheme="minorHAnsi"/>
                <w:lang w:val="it-IT"/>
              </w:rPr>
              <w:t>) e diminu</w:t>
            </w:r>
            <w:r w:rsidRPr="00DB1028">
              <w:rPr>
                <w:rFonts w:asciiTheme="minorHAnsi" w:eastAsia="TimesNewRomanPSMT" w:hAnsiTheme="minorHAnsi" w:cstheme="minorHAnsi"/>
                <w:lang w:val="it-IT"/>
              </w:rPr>
              <w:t xml:space="preserve">zione </w:t>
            </w:r>
            <w:r w:rsidRPr="00DB1028">
              <w:rPr>
                <w:rFonts w:asciiTheme="minorHAnsi" w:eastAsia="TimesNewRomanPSMT" w:hAnsiTheme="minorHAnsi" w:cstheme="minorHAnsi"/>
                <w:lang w:val="it-IT"/>
              </w:rPr>
              <w:lastRenderedPageBreak/>
              <w:t>dell’emoglobina (</w:t>
            </w:r>
            <w:r w:rsidRPr="009D0F4E">
              <w:rPr>
                <w:rFonts w:asciiTheme="minorHAnsi" w:hAnsiTheme="minorHAnsi" w:cstheme="minorHAnsi"/>
                <w:highlight w:val="yellow"/>
                <w:lang w:val="it-IT"/>
              </w:rPr>
              <w:t>48%</w:t>
            </w:r>
            <w:r w:rsidRPr="00DB1028">
              <w:rPr>
                <w:rFonts w:asciiTheme="minorHAnsi" w:hAnsiTheme="minorHAnsi" w:cstheme="minorHAnsi"/>
                <w:lang w:val="it-IT"/>
              </w:rPr>
              <w:t>).</w:t>
            </w:r>
          </w:p>
          <w:p w14:paraId="272D34A4" w14:textId="77777777" w:rsidR="00D06947" w:rsidRDefault="00D06947" w:rsidP="009D0F4E">
            <w:pPr>
              <w:autoSpaceDE w:val="0"/>
              <w:autoSpaceDN w:val="0"/>
              <w:adjustRightInd w:val="0"/>
              <w:rPr>
                <w:rFonts w:asciiTheme="minorHAnsi" w:hAnsiTheme="minorHAnsi" w:cstheme="minorHAnsi"/>
                <w:lang w:val="it-IT"/>
              </w:rPr>
            </w:pPr>
            <w:r w:rsidRPr="00DB1028">
              <w:rPr>
                <w:rFonts w:asciiTheme="minorHAnsi" w:hAnsiTheme="minorHAnsi" w:cstheme="minorHAnsi"/>
                <w:lang w:val="it-IT"/>
              </w:rPr>
              <w:t xml:space="preserve">Le reazioni avverse di Grado 3 e 4 sono state osservate più spesso </w:t>
            </w:r>
            <w:r w:rsidRPr="00DB1028">
              <w:rPr>
                <w:rFonts w:asciiTheme="minorHAnsi" w:eastAsia="TimesNewRomanPSMT" w:hAnsiTheme="minorHAnsi" w:cstheme="minorHAnsi"/>
                <w:lang w:val="it-IT"/>
              </w:rPr>
              <w:t xml:space="preserve">nell’arco delle </w:t>
            </w:r>
            <w:r w:rsidRPr="00DB1028">
              <w:rPr>
                <w:rFonts w:asciiTheme="minorHAnsi" w:hAnsiTheme="minorHAnsi" w:cstheme="minorHAnsi"/>
                <w:lang w:val="it-IT"/>
              </w:rPr>
              <w:t>prime 8 settimane</w:t>
            </w:r>
            <w:r w:rsidR="009D0F4E">
              <w:rPr>
                <w:rFonts w:asciiTheme="minorHAnsi" w:hAnsiTheme="minorHAnsi" w:cstheme="minorHAnsi"/>
                <w:lang w:val="it-IT"/>
              </w:rPr>
              <w:t xml:space="preserve"> </w:t>
            </w:r>
            <w:r w:rsidRPr="00DB1028">
              <w:rPr>
                <w:rFonts w:asciiTheme="minorHAnsi" w:hAnsiTheme="minorHAnsi" w:cstheme="minorHAnsi"/>
                <w:lang w:val="it-IT"/>
              </w:rPr>
              <w:t>post-infusione (</w:t>
            </w:r>
            <w:r w:rsidRPr="009D0F4E">
              <w:rPr>
                <w:rFonts w:asciiTheme="minorHAnsi" w:hAnsiTheme="minorHAnsi" w:cstheme="minorHAnsi"/>
                <w:highlight w:val="yellow"/>
                <w:lang w:val="it-IT"/>
              </w:rPr>
              <w:t>82%</w:t>
            </w:r>
            <w:r w:rsidRPr="00DB1028">
              <w:rPr>
                <w:rFonts w:asciiTheme="minorHAnsi" w:hAnsiTheme="minorHAnsi" w:cstheme="minorHAnsi"/>
                <w:lang w:val="it-IT"/>
              </w:rPr>
              <w:t xml:space="preserve"> dei pazienti) piuttosto che successivamente alle prime 8 settimane post-infusione</w:t>
            </w:r>
            <w:r w:rsidR="009D0F4E">
              <w:rPr>
                <w:rFonts w:asciiTheme="minorHAnsi" w:hAnsiTheme="minorHAnsi" w:cstheme="minorHAnsi"/>
                <w:lang w:val="it-IT"/>
              </w:rPr>
              <w:t xml:space="preserve"> </w:t>
            </w:r>
            <w:r w:rsidRPr="00DB1028">
              <w:rPr>
                <w:rFonts w:asciiTheme="minorHAnsi" w:hAnsiTheme="minorHAnsi" w:cstheme="minorHAnsi"/>
                <w:lang w:val="it-IT"/>
              </w:rPr>
              <w:t>(</w:t>
            </w:r>
            <w:r w:rsidRPr="005E0C77">
              <w:rPr>
                <w:rFonts w:asciiTheme="minorHAnsi" w:hAnsiTheme="minorHAnsi" w:cstheme="minorHAnsi"/>
                <w:highlight w:val="yellow"/>
                <w:lang w:val="it-IT"/>
              </w:rPr>
              <w:t>51</w:t>
            </w:r>
            <w:r w:rsidRPr="00DB1028">
              <w:rPr>
                <w:rFonts w:asciiTheme="minorHAnsi" w:hAnsiTheme="minorHAnsi" w:cstheme="minorHAnsi"/>
                <w:lang w:val="it-IT"/>
              </w:rPr>
              <w:t>% dei pazienti).</w:t>
            </w:r>
          </w:p>
          <w:p w14:paraId="20E6EED5" w14:textId="65090C64" w:rsidR="00BE04C8" w:rsidRPr="00DB1028" w:rsidRDefault="00BE04C8" w:rsidP="009D0F4E">
            <w:pPr>
              <w:autoSpaceDE w:val="0"/>
              <w:autoSpaceDN w:val="0"/>
              <w:adjustRightInd w:val="0"/>
              <w:rPr>
                <w:rFonts w:asciiTheme="minorHAnsi" w:hAnsiTheme="minorHAnsi" w:cstheme="minorHAnsi"/>
                <w:lang w:val="it-IT"/>
              </w:rPr>
            </w:pPr>
          </w:p>
        </w:tc>
        <w:tc>
          <w:tcPr>
            <w:tcW w:w="7230" w:type="dxa"/>
          </w:tcPr>
          <w:p w14:paraId="3D4887A9" w14:textId="77777777" w:rsidR="003747EA" w:rsidRPr="00DB1028" w:rsidRDefault="003747EA" w:rsidP="003747EA">
            <w:pPr>
              <w:pStyle w:val="Default"/>
              <w:rPr>
                <w:rFonts w:asciiTheme="minorHAnsi" w:hAnsiTheme="minorHAnsi" w:cstheme="minorHAnsi"/>
                <w:sz w:val="20"/>
                <w:szCs w:val="20"/>
              </w:rPr>
            </w:pPr>
            <w:r w:rsidRPr="00DB1028">
              <w:rPr>
                <w:rFonts w:asciiTheme="minorHAnsi" w:hAnsiTheme="minorHAnsi" w:cstheme="minorHAnsi"/>
                <w:i/>
                <w:iCs/>
                <w:sz w:val="20"/>
                <w:szCs w:val="20"/>
              </w:rPr>
              <w:lastRenderedPageBreak/>
              <w:t xml:space="preserve">LLA a cellule B </w:t>
            </w:r>
          </w:p>
          <w:p w14:paraId="228926C7" w14:textId="77777777" w:rsidR="003747EA" w:rsidRPr="00B066D4" w:rsidRDefault="003747EA" w:rsidP="003747EA">
            <w:pPr>
              <w:pStyle w:val="Default"/>
              <w:rPr>
                <w:rFonts w:asciiTheme="minorHAnsi" w:hAnsiTheme="minorHAnsi" w:cstheme="minorHAnsi"/>
                <w:b/>
                <w:bCs/>
                <w:sz w:val="20"/>
                <w:szCs w:val="20"/>
              </w:rPr>
            </w:pPr>
            <w:r w:rsidRPr="00DB1028">
              <w:rPr>
                <w:rFonts w:asciiTheme="minorHAnsi" w:hAnsiTheme="minorHAnsi" w:cstheme="minorHAnsi"/>
                <w:sz w:val="20"/>
                <w:szCs w:val="20"/>
              </w:rPr>
              <w:t xml:space="preserve">Le reazioni avverse descritte in questo paragrafo sono state caratterizzate in </w:t>
            </w:r>
            <w:r w:rsidRPr="00B066D4">
              <w:rPr>
                <w:rFonts w:asciiTheme="minorHAnsi" w:hAnsiTheme="minorHAnsi" w:cstheme="minorHAnsi"/>
                <w:b/>
                <w:bCs/>
                <w:sz w:val="20"/>
                <w:szCs w:val="20"/>
              </w:rPr>
              <w:t>212</w:t>
            </w:r>
            <w:r w:rsidRPr="00DB1028">
              <w:rPr>
                <w:rFonts w:asciiTheme="minorHAnsi" w:hAnsiTheme="minorHAnsi" w:cstheme="minorHAnsi"/>
                <w:sz w:val="20"/>
                <w:szCs w:val="20"/>
              </w:rPr>
              <w:t xml:space="preserve"> pazienti infusi con </w:t>
            </w:r>
            <w:proofErr w:type="spellStart"/>
            <w:r w:rsidRPr="00DB1028">
              <w:rPr>
                <w:rFonts w:asciiTheme="minorHAnsi" w:hAnsiTheme="minorHAnsi" w:cstheme="minorHAnsi"/>
                <w:sz w:val="20"/>
                <w:szCs w:val="20"/>
              </w:rPr>
              <w:t>Kymriah</w:t>
            </w:r>
            <w:proofErr w:type="spellEnd"/>
            <w:r w:rsidRPr="00DB1028">
              <w:rPr>
                <w:rFonts w:asciiTheme="minorHAnsi" w:hAnsiTheme="minorHAnsi" w:cstheme="minorHAnsi"/>
                <w:sz w:val="20"/>
                <w:szCs w:val="20"/>
              </w:rPr>
              <w:t xml:space="preserve"> nello studio clinico </w:t>
            </w:r>
            <w:proofErr w:type="spellStart"/>
            <w:r w:rsidRPr="00DB1028">
              <w:rPr>
                <w:rFonts w:asciiTheme="minorHAnsi" w:hAnsiTheme="minorHAnsi" w:cstheme="minorHAnsi"/>
                <w:sz w:val="20"/>
                <w:szCs w:val="20"/>
              </w:rPr>
              <w:t>registrativo</w:t>
            </w:r>
            <w:proofErr w:type="spellEnd"/>
            <w:r w:rsidRPr="00DB1028">
              <w:rPr>
                <w:rFonts w:asciiTheme="minorHAnsi" w:hAnsiTheme="minorHAnsi" w:cstheme="minorHAnsi"/>
                <w:sz w:val="20"/>
                <w:szCs w:val="20"/>
              </w:rPr>
              <w:t xml:space="preserve"> CCTL019B2202 </w:t>
            </w:r>
            <w:r w:rsidRPr="00B066D4">
              <w:rPr>
                <w:rFonts w:asciiTheme="minorHAnsi" w:hAnsiTheme="minorHAnsi" w:cstheme="minorHAnsi"/>
                <w:b/>
                <w:bCs/>
                <w:sz w:val="20"/>
                <w:szCs w:val="20"/>
              </w:rPr>
              <w:t xml:space="preserve">e negli studi di supporto CCTL019B2205J e CCTL019B2001X. </w:t>
            </w:r>
          </w:p>
          <w:p w14:paraId="02A1659B" w14:textId="77777777" w:rsidR="003747EA" w:rsidRPr="00DB1028" w:rsidRDefault="003747EA" w:rsidP="003747EA">
            <w:pPr>
              <w:pStyle w:val="Default"/>
              <w:rPr>
                <w:rFonts w:asciiTheme="minorHAnsi" w:hAnsiTheme="minorHAnsi" w:cstheme="minorHAnsi"/>
                <w:sz w:val="20"/>
                <w:szCs w:val="20"/>
              </w:rPr>
            </w:pPr>
            <w:r w:rsidRPr="00DB1028">
              <w:rPr>
                <w:rFonts w:asciiTheme="minorHAnsi" w:hAnsiTheme="minorHAnsi" w:cstheme="minorHAnsi"/>
                <w:sz w:val="20"/>
                <w:szCs w:val="20"/>
              </w:rPr>
              <w:t>Le reazioni avverse non ematologiche più comuni sono state sindrome da rilascio di citochine (</w:t>
            </w:r>
            <w:r w:rsidRPr="00B066D4">
              <w:rPr>
                <w:rFonts w:asciiTheme="minorHAnsi" w:hAnsiTheme="minorHAnsi" w:cstheme="minorHAnsi"/>
                <w:b/>
                <w:bCs/>
                <w:sz w:val="20"/>
                <w:szCs w:val="20"/>
              </w:rPr>
              <w:t>75%</w:t>
            </w:r>
            <w:r w:rsidRPr="00DB1028">
              <w:rPr>
                <w:rFonts w:asciiTheme="minorHAnsi" w:hAnsiTheme="minorHAnsi" w:cstheme="minorHAnsi"/>
                <w:sz w:val="20"/>
                <w:szCs w:val="20"/>
              </w:rPr>
              <w:t>), infezioni (</w:t>
            </w:r>
            <w:r w:rsidRPr="0079103E">
              <w:rPr>
                <w:rFonts w:asciiTheme="minorHAnsi" w:hAnsiTheme="minorHAnsi" w:cstheme="minorHAnsi"/>
                <w:b/>
                <w:bCs/>
                <w:sz w:val="20"/>
                <w:szCs w:val="20"/>
              </w:rPr>
              <w:t>70%</w:t>
            </w:r>
            <w:r w:rsidRPr="00DB1028">
              <w:rPr>
                <w:rFonts w:asciiTheme="minorHAnsi" w:hAnsiTheme="minorHAnsi" w:cstheme="minorHAnsi"/>
                <w:sz w:val="20"/>
                <w:szCs w:val="20"/>
              </w:rPr>
              <w:t xml:space="preserve">), </w:t>
            </w:r>
            <w:proofErr w:type="spellStart"/>
            <w:r w:rsidRPr="00DB1028">
              <w:rPr>
                <w:rFonts w:asciiTheme="minorHAnsi" w:hAnsiTheme="minorHAnsi" w:cstheme="minorHAnsi"/>
                <w:sz w:val="20"/>
                <w:szCs w:val="20"/>
              </w:rPr>
              <w:t>ipogammaglobulinemia</w:t>
            </w:r>
            <w:proofErr w:type="spellEnd"/>
            <w:r w:rsidRPr="00DB1028">
              <w:rPr>
                <w:rFonts w:asciiTheme="minorHAnsi" w:hAnsiTheme="minorHAnsi" w:cstheme="minorHAnsi"/>
                <w:sz w:val="20"/>
                <w:szCs w:val="20"/>
              </w:rPr>
              <w:t xml:space="preserve"> (</w:t>
            </w:r>
            <w:r w:rsidRPr="0079103E">
              <w:rPr>
                <w:rFonts w:asciiTheme="minorHAnsi" w:hAnsiTheme="minorHAnsi" w:cstheme="minorHAnsi"/>
                <w:b/>
                <w:bCs/>
                <w:sz w:val="20"/>
                <w:szCs w:val="20"/>
              </w:rPr>
              <w:t>49%</w:t>
            </w:r>
            <w:r w:rsidRPr="00DB1028">
              <w:rPr>
                <w:rFonts w:asciiTheme="minorHAnsi" w:hAnsiTheme="minorHAnsi" w:cstheme="minorHAnsi"/>
                <w:sz w:val="20"/>
                <w:szCs w:val="20"/>
              </w:rPr>
              <w:t>), piressia (</w:t>
            </w:r>
            <w:r w:rsidRPr="0079103E">
              <w:rPr>
                <w:rFonts w:asciiTheme="minorHAnsi" w:hAnsiTheme="minorHAnsi" w:cstheme="minorHAnsi"/>
                <w:b/>
                <w:bCs/>
                <w:sz w:val="20"/>
                <w:szCs w:val="20"/>
              </w:rPr>
              <w:t>43%</w:t>
            </w:r>
            <w:r w:rsidRPr="00DB1028">
              <w:rPr>
                <w:rFonts w:asciiTheme="minorHAnsi" w:hAnsiTheme="minorHAnsi" w:cstheme="minorHAnsi"/>
                <w:sz w:val="20"/>
                <w:szCs w:val="20"/>
              </w:rPr>
              <w:t>) e diminuzione dell’appetito (</w:t>
            </w:r>
            <w:r w:rsidRPr="0079103E">
              <w:rPr>
                <w:rFonts w:asciiTheme="minorHAnsi" w:hAnsiTheme="minorHAnsi" w:cstheme="minorHAnsi"/>
                <w:b/>
                <w:bCs/>
                <w:sz w:val="20"/>
                <w:szCs w:val="20"/>
              </w:rPr>
              <w:t>28%</w:t>
            </w:r>
            <w:r w:rsidRPr="00DB1028">
              <w:rPr>
                <w:rFonts w:asciiTheme="minorHAnsi" w:hAnsiTheme="minorHAnsi" w:cstheme="minorHAnsi"/>
                <w:sz w:val="20"/>
                <w:szCs w:val="20"/>
              </w:rPr>
              <w:t xml:space="preserve">). </w:t>
            </w:r>
          </w:p>
          <w:p w14:paraId="53C457F8" w14:textId="77777777" w:rsidR="0054137D" w:rsidRPr="00DB1028" w:rsidRDefault="003747EA" w:rsidP="003747EA">
            <w:pPr>
              <w:rPr>
                <w:rFonts w:asciiTheme="minorHAnsi" w:hAnsiTheme="minorHAnsi" w:cstheme="minorHAnsi"/>
                <w:lang w:val="it-IT"/>
              </w:rPr>
            </w:pPr>
            <w:r w:rsidRPr="00DB1028">
              <w:rPr>
                <w:rFonts w:asciiTheme="minorHAnsi" w:hAnsiTheme="minorHAnsi" w:cstheme="minorHAnsi"/>
                <w:lang w:val="it-IT"/>
              </w:rPr>
              <w:t>Le anomalie ematologiche di laboratorio più comuni sono state diminuzione dei globuli bianchi (100%), diminuzione dell’emoglobina (99%), diminuzione dei neutrofili (98%), diminuzione dei linfociti (98%) e diminuzione delle piastrine (</w:t>
            </w:r>
            <w:r w:rsidRPr="0079103E">
              <w:rPr>
                <w:rFonts w:asciiTheme="minorHAnsi" w:hAnsiTheme="minorHAnsi" w:cstheme="minorHAnsi"/>
                <w:b/>
                <w:bCs/>
                <w:lang w:val="it-IT"/>
              </w:rPr>
              <w:t>95%</w:t>
            </w:r>
            <w:r w:rsidRPr="00DB1028">
              <w:rPr>
                <w:rFonts w:asciiTheme="minorHAnsi" w:hAnsiTheme="minorHAnsi" w:cstheme="minorHAnsi"/>
                <w:lang w:val="it-IT"/>
              </w:rPr>
              <w:t>).</w:t>
            </w:r>
          </w:p>
          <w:p w14:paraId="064E1E59" w14:textId="77777777" w:rsidR="009D0F4E" w:rsidRDefault="00D06947" w:rsidP="00D06947">
            <w:pPr>
              <w:pStyle w:val="Default"/>
              <w:rPr>
                <w:rFonts w:asciiTheme="minorHAnsi" w:hAnsiTheme="minorHAnsi" w:cstheme="minorHAnsi"/>
                <w:sz w:val="20"/>
                <w:szCs w:val="20"/>
              </w:rPr>
            </w:pPr>
            <w:r w:rsidRPr="00DB1028">
              <w:rPr>
                <w:rFonts w:asciiTheme="minorHAnsi" w:hAnsiTheme="minorHAnsi" w:cstheme="minorHAnsi"/>
                <w:sz w:val="20"/>
                <w:szCs w:val="20"/>
              </w:rPr>
              <w:t xml:space="preserve">Reazioni avverse di Grado 3 e 4 sono state riportate </w:t>
            </w:r>
            <w:r w:rsidRPr="009D0F4E">
              <w:rPr>
                <w:rFonts w:asciiTheme="minorHAnsi" w:hAnsiTheme="minorHAnsi" w:cstheme="minorHAnsi"/>
                <w:b/>
                <w:bCs/>
                <w:sz w:val="20"/>
                <w:szCs w:val="20"/>
              </w:rPr>
              <w:t>nell’86%</w:t>
            </w:r>
            <w:r w:rsidRPr="00DB1028">
              <w:rPr>
                <w:rFonts w:asciiTheme="minorHAnsi" w:hAnsiTheme="minorHAnsi" w:cstheme="minorHAnsi"/>
                <w:sz w:val="20"/>
                <w:szCs w:val="20"/>
              </w:rPr>
              <w:t xml:space="preserve"> dei pazienti. </w:t>
            </w:r>
          </w:p>
          <w:p w14:paraId="6180E9D3" w14:textId="5D4DA209" w:rsidR="00D06947" w:rsidRPr="00DB1028" w:rsidRDefault="00D06947" w:rsidP="00D06947">
            <w:pPr>
              <w:pStyle w:val="Default"/>
              <w:rPr>
                <w:rFonts w:asciiTheme="minorHAnsi" w:hAnsiTheme="minorHAnsi" w:cstheme="minorHAnsi"/>
                <w:sz w:val="20"/>
                <w:szCs w:val="20"/>
              </w:rPr>
            </w:pPr>
            <w:r w:rsidRPr="00DB1028">
              <w:rPr>
                <w:rFonts w:asciiTheme="minorHAnsi" w:hAnsiTheme="minorHAnsi" w:cstheme="minorHAnsi"/>
                <w:sz w:val="20"/>
                <w:szCs w:val="20"/>
              </w:rPr>
              <w:t>La reazione avversa non ematologica di Grado 3 e 4 più comune è stata la sindrome da rilascio di citochine (</w:t>
            </w:r>
            <w:r w:rsidRPr="009D0F4E">
              <w:rPr>
                <w:rFonts w:asciiTheme="minorHAnsi" w:hAnsiTheme="minorHAnsi" w:cstheme="minorHAnsi"/>
                <w:b/>
                <w:bCs/>
                <w:sz w:val="20"/>
                <w:szCs w:val="20"/>
              </w:rPr>
              <w:t>37%</w:t>
            </w:r>
            <w:r w:rsidRPr="00DB1028">
              <w:rPr>
                <w:rFonts w:asciiTheme="minorHAnsi" w:hAnsiTheme="minorHAnsi" w:cstheme="minorHAnsi"/>
                <w:sz w:val="20"/>
                <w:szCs w:val="20"/>
              </w:rPr>
              <w:t xml:space="preserve">). </w:t>
            </w:r>
          </w:p>
          <w:p w14:paraId="29972CDB" w14:textId="77777777" w:rsidR="00D06947" w:rsidRPr="00DB1028" w:rsidRDefault="00D06947" w:rsidP="00D06947">
            <w:pPr>
              <w:pStyle w:val="Default"/>
              <w:rPr>
                <w:rFonts w:asciiTheme="minorHAnsi" w:hAnsiTheme="minorHAnsi" w:cstheme="minorHAnsi"/>
                <w:sz w:val="20"/>
                <w:szCs w:val="20"/>
              </w:rPr>
            </w:pPr>
            <w:r w:rsidRPr="00DB1028">
              <w:rPr>
                <w:rFonts w:asciiTheme="minorHAnsi" w:hAnsiTheme="minorHAnsi" w:cstheme="minorHAnsi"/>
                <w:sz w:val="20"/>
                <w:szCs w:val="20"/>
              </w:rPr>
              <w:t>Le anomalie ematologiche di laboratorio di Grado 3 e 4 più comuni sono state diminuzione dei globuli bianchi (97%), diminuzione dei linfociti (</w:t>
            </w:r>
            <w:r w:rsidRPr="009D0F4E">
              <w:rPr>
                <w:rFonts w:asciiTheme="minorHAnsi" w:hAnsiTheme="minorHAnsi" w:cstheme="minorHAnsi"/>
                <w:b/>
                <w:bCs/>
                <w:sz w:val="20"/>
                <w:szCs w:val="20"/>
              </w:rPr>
              <w:t>94%</w:t>
            </w:r>
            <w:r w:rsidRPr="00DB1028">
              <w:rPr>
                <w:rFonts w:asciiTheme="minorHAnsi" w:hAnsiTheme="minorHAnsi" w:cstheme="minorHAnsi"/>
                <w:sz w:val="20"/>
                <w:szCs w:val="20"/>
              </w:rPr>
              <w:t>), diminuzione dei neutrofili (</w:t>
            </w:r>
            <w:r w:rsidRPr="009D0F4E">
              <w:rPr>
                <w:rFonts w:asciiTheme="minorHAnsi" w:hAnsiTheme="minorHAnsi" w:cstheme="minorHAnsi"/>
                <w:b/>
                <w:bCs/>
                <w:sz w:val="20"/>
                <w:szCs w:val="20"/>
              </w:rPr>
              <w:t>96%</w:t>
            </w:r>
            <w:r w:rsidRPr="00DB1028">
              <w:rPr>
                <w:rFonts w:asciiTheme="minorHAnsi" w:hAnsiTheme="minorHAnsi" w:cstheme="minorHAnsi"/>
                <w:sz w:val="20"/>
                <w:szCs w:val="20"/>
              </w:rPr>
              <w:t xml:space="preserve">), diminuzione delle piastrine </w:t>
            </w:r>
            <w:r w:rsidRPr="009D0F4E">
              <w:rPr>
                <w:rFonts w:asciiTheme="minorHAnsi" w:hAnsiTheme="minorHAnsi" w:cstheme="minorHAnsi"/>
                <w:b/>
                <w:bCs/>
                <w:sz w:val="20"/>
                <w:szCs w:val="20"/>
              </w:rPr>
              <w:t>(70%)</w:t>
            </w:r>
            <w:r w:rsidRPr="00DB1028">
              <w:rPr>
                <w:rFonts w:asciiTheme="minorHAnsi" w:hAnsiTheme="minorHAnsi" w:cstheme="minorHAnsi"/>
                <w:sz w:val="20"/>
                <w:szCs w:val="20"/>
              </w:rPr>
              <w:t xml:space="preserve"> e diminuzione dell’emoglobina </w:t>
            </w:r>
            <w:r w:rsidRPr="00DB1028">
              <w:rPr>
                <w:rFonts w:asciiTheme="minorHAnsi" w:hAnsiTheme="minorHAnsi" w:cstheme="minorHAnsi"/>
                <w:sz w:val="20"/>
                <w:szCs w:val="20"/>
              </w:rPr>
              <w:lastRenderedPageBreak/>
              <w:t>(</w:t>
            </w:r>
            <w:r w:rsidRPr="009D0F4E">
              <w:rPr>
                <w:rFonts w:asciiTheme="minorHAnsi" w:hAnsiTheme="minorHAnsi" w:cstheme="minorHAnsi"/>
                <w:b/>
                <w:bCs/>
                <w:sz w:val="20"/>
                <w:szCs w:val="20"/>
              </w:rPr>
              <w:t>46%</w:t>
            </w:r>
            <w:r w:rsidRPr="00DB1028">
              <w:rPr>
                <w:rFonts w:asciiTheme="minorHAnsi" w:hAnsiTheme="minorHAnsi" w:cstheme="minorHAnsi"/>
                <w:sz w:val="20"/>
                <w:szCs w:val="20"/>
              </w:rPr>
              <w:t xml:space="preserve">). </w:t>
            </w:r>
          </w:p>
          <w:p w14:paraId="56651CA5" w14:textId="03C91D29" w:rsidR="00D06947" w:rsidRPr="005E0C77" w:rsidRDefault="00D06947" w:rsidP="00D06947">
            <w:pPr>
              <w:rPr>
                <w:rFonts w:asciiTheme="minorHAnsi" w:hAnsiTheme="minorHAnsi" w:cstheme="minorHAnsi"/>
                <w:lang w:val="it-IT"/>
              </w:rPr>
            </w:pPr>
            <w:r w:rsidRPr="00DB1028">
              <w:rPr>
                <w:rFonts w:asciiTheme="minorHAnsi" w:hAnsiTheme="minorHAnsi" w:cstheme="minorHAnsi"/>
                <w:lang w:val="it-IT"/>
              </w:rPr>
              <w:t>Le reazioni avverse di Grado 3 e 4 sono state osservate più spesso nell’arco delle prime 8 settimane post-infusione (</w:t>
            </w:r>
            <w:r w:rsidRPr="009D0F4E">
              <w:rPr>
                <w:rFonts w:asciiTheme="minorHAnsi" w:hAnsiTheme="minorHAnsi" w:cstheme="minorHAnsi"/>
                <w:b/>
                <w:bCs/>
                <w:lang w:val="it-IT"/>
              </w:rPr>
              <w:t>78%</w:t>
            </w:r>
            <w:r w:rsidRPr="00DB1028">
              <w:rPr>
                <w:rFonts w:asciiTheme="minorHAnsi" w:hAnsiTheme="minorHAnsi" w:cstheme="minorHAnsi"/>
                <w:lang w:val="it-IT"/>
              </w:rPr>
              <w:t xml:space="preserve"> dei pazienti)</w:t>
            </w:r>
            <w:r w:rsidR="005E0C77">
              <w:rPr>
                <w:rFonts w:asciiTheme="minorHAnsi" w:hAnsiTheme="minorHAnsi" w:cstheme="minorHAnsi"/>
                <w:lang w:val="it-IT"/>
              </w:rPr>
              <w:t xml:space="preserve"> </w:t>
            </w:r>
            <w:r w:rsidR="005E0C77" w:rsidRPr="005E0C77">
              <w:rPr>
                <w:rFonts w:asciiTheme="minorHAnsi" w:hAnsiTheme="minorHAnsi" w:cstheme="minorHAnsi"/>
                <w:lang w:val="it-IT"/>
              </w:rPr>
              <w:t>piuttosto che successivamente alle prime 8 settimane post-infusione (</w:t>
            </w:r>
            <w:r w:rsidR="005E0C77" w:rsidRPr="005E0C77">
              <w:rPr>
                <w:rFonts w:asciiTheme="minorHAnsi" w:hAnsiTheme="minorHAnsi" w:cstheme="minorHAnsi"/>
                <w:b/>
                <w:bCs/>
                <w:lang w:val="it-IT"/>
              </w:rPr>
              <w:t>49%</w:t>
            </w:r>
            <w:r w:rsidR="005E0C77" w:rsidRPr="005E0C77">
              <w:rPr>
                <w:rFonts w:asciiTheme="minorHAnsi" w:hAnsiTheme="minorHAnsi" w:cstheme="minorHAnsi"/>
                <w:lang w:val="it-IT"/>
              </w:rPr>
              <w:t xml:space="preserve"> dei pazienti).</w:t>
            </w:r>
          </w:p>
        </w:tc>
      </w:tr>
      <w:tr w:rsidR="00A44877" w:rsidRPr="00B42B2B" w14:paraId="416DC03A" w14:textId="77777777" w:rsidTr="00E04950">
        <w:tc>
          <w:tcPr>
            <w:tcW w:w="6946" w:type="dxa"/>
          </w:tcPr>
          <w:p w14:paraId="037FA435" w14:textId="77777777" w:rsidR="00A44877" w:rsidRPr="00DB1028" w:rsidRDefault="00A44877" w:rsidP="00A44877">
            <w:pPr>
              <w:autoSpaceDE w:val="0"/>
              <w:autoSpaceDN w:val="0"/>
              <w:adjustRightInd w:val="0"/>
              <w:rPr>
                <w:rFonts w:asciiTheme="minorHAnsi" w:hAnsiTheme="minorHAnsi" w:cstheme="minorHAnsi"/>
                <w:i/>
                <w:iCs/>
                <w:lang w:val="it-IT"/>
              </w:rPr>
            </w:pPr>
            <w:r w:rsidRPr="00DB1028">
              <w:rPr>
                <w:rFonts w:asciiTheme="minorHAnsi" w:hAnsiTheme="minorHAnsi" w:cstheme="minorHAnsi"/>
                <w:i/>
                <w:iCs/>
                <w:lang w:val="it-IT"/>
              </w:rPr>
              <w:lastRenderedPageBreak/>
              <w:t>Elenco riepilogativo delle reazioni avverse al medicinale</w:t>
            </w:r>
          </w:p>
          <w:p w14:paraId="52CB2A0B" w14:textId="1E277262" w:rsidR="00A44877" w:rsidRDefault="00A44877" w:rsidP="00A44877">
            <w:pPr>
              <w:autoSpaceDE w:val="0"/>
              <w:autoSpaceDN w:val="0"/>
              <w:adjustRightInd w:val="0"/>
              <w:rPr>
                <w:rFonts w:asciiTheme="minorHAnsi" w:hAnsiTheme="minorHAnsi" w:cstheme="minorHAnsi"/>
                <w:lang w:val="it-IT"/>
              </w:rPr>
            </w:pPr>
            <w:r w:rsidRPr="00DB1028">
              <w:rPr>
                <w:rFonts w:asciiTheme="minorHAnsi" w:hAnsiTheme="minorHAnsi" w:cstheme="minorHAnsi"/>
                <w:lang w:val="it-IT"/>
              </w:rPr>
              <w:t>Le reazioni avverse descritte in questo paragrafo sono state riscontrate in 79, 115 e 97 pazienti negli</w:t>
            </w:r>
            <w:r>
              <w:rPr>
                <w:rFonts w:asciiTheme="minorHAnsi" w:hAnsiTheme="minorHAnsi" w:cstheme="minorHAnsi"/>
                <w:lang w:val="it-IT"/>
              </w:rPr>
              <w:t xml:space="preserve"> </w:t>
            </w:r>
            <w:r w:rsidRPr="00DB1028">
              <w:rPr>
                <w:rFonts w:asciiTheme="minorHAnsi" w:hAnsiTheme="minorHAnsi" w:cstheme="minorHAnsi"/>
                <w:lang w:val="it-IT"/>
              </w:rPr>
              <w:t>studi clinici multicentrici registrativi in corso (CCTL019B2202, CCTL019C2201 e CCTL019E2202).</w:t>
            </w:r>
          </w:p>
          <w:p w14:paraId="6A5BEDD2" w14:textId="77777777" w:rsidR="00123CE0" w:rsidRPr="00DB1028" w:rsidRDefault="00123CE0" w:rsidP="00A44877">
            <w:pPr>
              <w:autoSpaceDE w:val="0"/>
              <w:autoSpaceDN w:val="0"/>
              <w:adjustRightInd w:val="0"/>
              <w:rPr>
                <w:rFonts w:asciiTheme="minorHAnsi" w:hAnsiTheme="minorHAnsi" w:cstheme="minorHAnsi"/>
                <w:lang w:val="it-IT"/>
              </w:rPr>
            </w:pPr>
          </w:p>
          <w:p w14:paraId="72835606" w14:textId="77777777" w:rsidR="00A44877" w:rsidRDefault="00A44877" w:rsidP="00123CE0">
            <w:pPr>
              <w:autoSpaceDE w:val="0"/>
              <w:autoSpaceDN w:val="0"/>
              <w:adjustRightInd w:val="0"/>
              <w:rPr>
                <w:rFonts w:asciiTheme="minorHAnsi" w:hAnsiTheme="minorHAnsi" w:cstheme="minorHAnsi"/>
                <w:lang w:val="it-IT"/>
              </w:rPr>
            </w:pPr>
            <w:r w:rsidRPr="00DB1028">
              <w:rPr>
                <w:rFonts w:asciiTheme="minorHAnsi" w:hAnsiTheme="minorHAnsi" w:cstheme="minorHAnsi"/>
                <w:lang w:val="it-IT"/>
              </w:rPr>
              <w:t>Le reazioni avverse al medicinale riscontrate in questi studi clinici (Tabella 2) sono elencate secondo</w:t>
            </w:r>
            <w:r>
              <w:rPr>
                <w:rFonts w:asciiTheme="minorHAnsi" w:hAnsiTheme="minorHAnsi" w:cstheme="minorHAnsi"/>
                <w:lang w:val="it-IT"/>
              </w:rPr>
              <w:t xml:space="preserve"> </w:t>
            </w:r>
            <w:r w:rsidRPr="00DB1028">
              <w:rPr>
                <w:rFonts w:asciiTheme="minorHAnsi" w:hAnsiTheme="minorHAnsi" w:cstheme="minorHAnsi"/>
                <w:lang w:val="it-IT"/>
              </w:rPr>
              <w:t>la class</w:t>
            </w:r>
            <w:r w:rsidRPr="00DB1028">
              <w:rPr>
                <w:rFonts w:asciiTheme="minorHAnsi" w:eastAsia="TimesNewRomanPSMT" w:hAnsiTheme="minorHAnsi" w:cstheme="minorHAnsi"/>
                <w:lang w:val="it-IT"/>
              </w:rPr>
              <w:t xml:space="preserve">ificazione per sistemi e organi </w:t>
            </w:r>
            <w:proofErr w:type="spellStart"/>
            <w:r w:rsidRPr="00DB1028">
              <w:rPr>
                <w:rFonts w:asciiTheme="minorHAnsi" w:eastAsia="TimesNewRomanPSMT" w:hAnsiTheme="minorHAnsi" w:cstheme="minorHAnsi"/>
                <w:lang w:val="it-IT"/>
              </w:rPr>
              <w:t>MedDRA</w:t>
            </w:r>
            <w:proofErr w:type="spellEnd"/>
            <w:r w:rsidRPr="00DB1028">
              <w:rPr>
                <w:rFonts w:asciiTheme="minorHAnsi" w:eastAsia="TimesNewRomanPSMT" w:hAnsiTheme="minorHAnsi" w:cstheme="minorHAnsi"/>
                <w:lang w:val="it-IT"/>
              </w:rPr>
              <w:t>. All’interno di ciascuna classe di sistema e organo, le</w:t>
            </w:r>
            <w:r>
              <w:rPr>
                <w:rFonts w:asciiTheme="minorHAnsi" w:eastAsia="TimesNewRomanPSMT" w:hAnsiTheme="minorHAnsi" w:cstheme="minorHAnsi"/>
                <w:lang w:val="it-IT"/>
              </w:rPr>
              <w:t xml:space="preserve"> </w:t>
            </w:r>
            <w:r w:rsidRPr="00DB1028">
              <w:rPr>
                <w:rFonts w:asciiTheme="minorHAnsi" w:hAnsiTheme="minorHAnsi" w:cstheme="minorHAnsi"/>
                <w:lang w:val="it-IT"/>
              </w:rPr>
              <w:t>reazioni avverse al medicinale sono riportate in ordine decrescente di frequenza, usando la seguente</w:t>
            </w:r>
            <w:r>
              <w:rPr>
                <w:rFonts w:asciiTheme="minorHAnsi" w:hAnsiTheme="minorHAnsi" w:cstheme="minorHAnsi"/>
                <w:lang w:val="it-IT"/>
              </w:rPr>
              <w:t xml:space="preserve"> </w:t>
            </w:r>
            <w:r w:rsidRPr="00DB1028">
              <w:rPr>
                <w:rFonts w:asciiTheme="minorHAnsi" w:eastAsia="TimesNewRomanPSMT" w:hAnsiTheme="minorHAnsi" w:cstheme="minorHAnsi"/>
                <w:lang w:val="it-IT"/>
              </w:rPr>
              <w:t>convenzione: molto comune (≥1/10); comune (≥1/100, &lt;1/10); non comune (≥1/1.000, &lt;1/100); raro</w:t>
            </w:r>
            <w:r w:rsidR="00123CE0">
              <w:rPr>
                <w:rFonts w:asciiTheme="minorHAnsi" w:eastAsia="TimesNewRomanPSMT" w:hAnsiTheme="minorHAnsi" w:cstheme="minorHAnsi"/>
                <w:lang w:val="it-IT"/>
              </w:rPr>
              <w:t xml:space="preserve"> </w:t>
            </w:r>
            <w:r w:rsidRPr="00DB1028">
              <w:rPr>
                <w:rFonts w:asciiTheme="minorHAnsi" w:eastAsia="TimesNewRomanPSMT" w:hAnsiTheme="minorHAnsi" w:cstheme="minorHAnsi"/>
                <w:lang w:val="it-IT"/>
              </w:rPr>
              <w:t xml:space="preserve">(≥1/10.000, &lt;1/1.000); molto raro (&lt;1/10.000); non nota (la frequenza non può essere </w:t>
            </w:r>
            <w:r w:rsidRPr="00DB1028">
              <w:rPr>
                <w:rFonts w:asciiTheme="minorHAnsi" w:hAnsiTheme="minorHAnsi" w:cstheme="minorHAnsi"/>
                <w:lang w:val="it-IT"/>
              </w:rPr>
              <w:t>definita sulla</w:t>
            </w:r>
            <w:r>
              <w:rPr>
                <w:rFonts w:asciiTheme="minorHAnsi" w:hAnsiTheme="minorHAnsi" w:cstheme="minorHAnsi"/>
                <w:lang w:val="it-IT"/>
              </w:rPr>
              <w:t xml:space="preserve"> </w:t>
            </w:r>
            <w:r w:rsidRPr="00DB1028">
              <w:rPr>
                <w:rFonts w:asciiTheme="minorHAnsi" w:hAnsiTheme="minorHAnsi" w:cstheme="minorHAnsi"/>
                <w:lang w:val="it-IT"/>
              </w:rPr>
              <w:t>base dei dati disponibili)</w:t>
            </w:r>
            <w:r w:rsidRPr="00DB1028">
              <w:rPr>
                <w:rFonts w:asciiTheme="minorHAnsi" w:eastAsia="TimesNewRomanPSMT" w:hAnsiTheme="minorHAnsi" w:cstheme="minorHAnsi"/>
                <w:lang w:val="it-IT"/>
              </w:rPr>
              <w:t xml:space="preserve">. All’interno di ciascuna </w:t>
            </w:r>
            <w:r w:rsidRPr="00DB1028">
              <w:rPr>
                <w:rFonts w:asciiTheme="minorHAnsi" w:hAnsiTheme="minorHAnsi" w:cstheme="minorHAnsi"/>
                <w:lang w:val="it-IT"/>
              </w:rPr>
              <w:t>gruppo di frequenza, le reazioni avverse al</w:t>
            </w:r>
            <w:r>
              <w:rPr>
                <w:rFonts w:asciiTheme="minorHAnsi" w:hAnsiTheme="minorHAnsi" w:cstheme="minorHAnsi"/>
                <w:lang w:val="it-IT"/>
              </w:rPr>
              <w:t xml:space="preserve"> </w:t>
            </w:r>
            <w:r w:rsidRPr="00DB1028">
              <w:rPr>
                <w:rFonts w:asciiTheme="minorHAnsi" w:hAnsiTheme="minorHAnsi" w:cstheme="minorHAnsi"/>
                <w:lang w:val="it-IT"/>
              </w:rPr>
              <w:t>medicinale sono riportate in ordine decrescente di gravità.</w:t>
            </w:r>
          </w:p>
          <w:p w14:paraId="00729C73" w14:textId="0C494907" w:rsidR="00BE04C8" w:rsidRPr="00DB1028" w:rsidRDefault="00BE04C8" w:rsidP="00123CE0">
            <w:pPr>
              <w:autoSpaceDE w:val="0"/>
              <w:autoSpaceDN w:val="0"/>
              <w:adjustRightInd w:val="0"/>
              <w:rPr>
                <w:rFonts w:asciiTheme="minorHAnsi" w:hAnsiTheme="minorHAnsi" w:cstheme="minorHAnsi"/>
                <w:i/>
                <w:iCs/>
                <w:lang w:val="it-IT"/>
              </w:rPr>
            </w:pPr>
          </w:p>
        </w:tc>
        <w:tc>
          <w:tcPr>
            <w:tcW w:w="7230" w:type="dxa"/>
          </w:tcPr>
          <w:p w14:paraId="5E580FF6" w14:textId="77777777" w:rsidR="00A44877" w:rsidRPr="00DB1028" w:rsidRDefault="00A44877" w:rsidP="00A44877">
            <w:pPr>
              <w:pStyle w:val="Default"/>
              <w:rPr>
                <w:rFonts w:asciiTheme="minorHAnsi" w:hAnsiTheme="minorHAnsi" w:cstheme="minorHAnsi"/>
                <w:sz w:val="20"/>
                <w:szCs w:val="20"/>
              </w:rPr>
            </w:pPr>
            <w:r w:rsidRPr="00DB1028">
              <w:rPr>
                <w:rFonts w:asciiTheme="minorHAnsi" w:hAnsiTheme="minorHAnsi" w:cstheme="minorHAnsi"/>
                <w:i/>
                <w:iCs/>
                <w:sz w:val="20"/>
                <w:szCs w:val="20"/>
              </w:rPr>
              <w:t xml:space="preserve">Elenco riepilogativo delle reazioni avverse al medicinale </w:t>
            </w:r>
          </w:p>
          <w:p w14:paraId="426F17CC" w14:textId="77777777" w:rsidR="00123CE0" w:rsidRDefault="00A44877" w:rsidP="00A44877">
            <w:pPr>
              <w:pStyle w:val="Default"/>
              <w:rPr>
                <w:rFonts w:asciiTheme="minorHAnsi" w:hAnsiTheme="minorHAnsi" w:cstheme="minorHAnsi"/>
                <w:b/>
                <w:bCs/>
                <w:sz w:val="20"/>
                <w:szCs w:val="20"/>
              </w:rPr>
            </w:pPr>
            <w:r w:rsidRPr="00DB1028">
              <w:rPr>
                <w:rFonts w:asciiTheme="minorHAnsi" w:hAnsiTheme="minorHAnsi" w:cstheme="minorHAnsi"/>
                <w:sz w:val="20"/>
                <w:szCs w:val="20"/>
              </w:rPr>
              <w:t xml:space="preserve">Le reazioni avverse descritte in questo paragrafo sono state riscontrate in 79, 115 e 97 pazienti negli studi clinici multicentrici registrativi in corso (CCTL019B2202, CCTL019C2201 e CCTL019E2202), </w:t>
            </w:r>
            <w:r w:rsidRPr="00123CE0">
              <w:rPr>
                <w:rFonts w:asciiTheme="minorHAnsi" w:hAnsiTheme="minorHAnsi" w:cstheme="minorHAnsi"/>
                <w:b/>
                <w:bCs/>
                <w:sz w:val="20"/>
                <w:szCs w:val="20"/>
              </w:rPr>
              <w:t>così come in 64 e 69 pazienti negli studi di supporto (CCTL019B2205J e CCTL019B2001X).</w:t>
            </w:r>
          </w:p>
          <w:p w14:paraId="47E89A21" w14:textId="3AF0C59A" w:rsidR="00A44877" w:rsidRPr="00DB1028" w:rsidRDefault="00A44877" w:rsidP="00A44877">
            <w:pPr>
              <w:pStyle w:val="Default"/>
              <w:rPr>
                <w:rFonts w:asciiTheme="minorHAnsi" w:hAnsiTheme="minorHAnsi" w:cstheme="minorHAnsi"/>
                <w:i/>
                <w:iCs/>
                <w:sz w:val="20"/>
                <w:szCs w:val="20"/>
              </w:rPr>
            </w:pPr>
            <w:r w:rsidRPr="00DB1028">
              <w:rPr>
                <w:rFonts w:asciiTheme="minorHAnsi" w:hAnsiTheme="minorHAnsi" w:cstheme="minorHAnsi"/>
                <w:sz w:val="20"/>
                <w:szCs w:val="20"/>
              </w:rPr>
              <w:t xml:space="preserve">Le reazioni avverse al medicinale riscontrate in questi studi clinici (Tabella 2) sono elencate secondo la classificazione per sistemi e organi </w:t>
            </w:r>
            <w:proofErr w:type="spellStart"/>
            <w:r w:rsidRPr="00DB1028">
              <w:rPr>
                <w:rFonts w:asciiTheme="minorHAnsi" w:hAnsiTheme="minorHAnsi" w:cstheme="minorHAnsi"/>
                <w:sz w:val="20"/>
                <w:szCs w:val="20"/>
              </w:rPr>
              <w:t>MedDRA</w:t>
            </w:r>
            <w:proofErr w:type="spellEnd"/>
            <w:r w:rsidRPr="00DB1028">
              <w:rPr>
                <w:rFonts w:asciiTheme="minorHAnsi" w:hAnsiTheme="minorHAnsi" w:cstheme="minorHAnsi"/>
                <w:sz w:val="20"/>
                <w:szCs w:val="20"/>
              </w:rPr>
              <w:t>. All’interno di ciascuna classe di sistema e organo, le reazioni avverse al medicinale sono riportate in ordine decrescente di frequenza, usando la seguente convenzione: molto comune (≥1/10); comune (≥1/100, &lt;1/10); non comune (≥1/1.000, &lt;1/100); raro (≥1/10.000, &lt;1/1.000); molto raro (&lt;1/10.000); non nota (la frequenza non può essere definita sulla base dei dati disponibili). All’interno di ciascuna gruppo di frequenza, le reazioni avverse al medicinale sono riportate in ordine decrescente di gravità</w:t>
            </w:r>
          </w:p>
        </w:tc>
      </w:tr>
      <w:tr w:rsidR="00E04950" w:rsidRPr="00DB1028" w14:paraId="7F625DAE" w14:textId="77777777" w:rsidTr="00E04950">
        <w:tc>
          <w:tcPr>
            <w:tcW w:w="6946" w:type="dxa"/>
          </w:tcPr>
          <w:p w14:paraId="48FB7DBD" w14:textId="77777777" w:rsidR="0054137D" w:rsidRPr="00DB1028" w:rsidRDefault="00A9088D">
            <w:pPr>
              <w:rPr>
                <w:rFonts w:asciiTheme="minorHAnsi" w:hAnsiTheme="minorHAnsi" w:cstheme="minorHAnsi"/>
                <w:lang w:val="it-IT"/>
              </w:rPr>
            </w:pPr>
            <w:r w:rsidRPr="00DB1028">
              <w:rPr>
                <w:rFonts w:asciiTheme="minorHAnsi" w:hAnsiTheme="minorHAnsi" w:cstheme="minorHAnsi"/>
                <w:noProof/>
              </w:rPr>
              <w:lastRenderedPageBreak/>
              <w:drawing>
                <wp:inline distT="0" distB="0" distL="0" distR="0" wp14:anchorId="663B5529" wp14:editId="7022BE84">
                  <wp:extent cx="3549650" cy="523674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586773" cy="5291514"/>
                          </a:xfrm>
                          <a:prstGeom prst="rect">
                            <a:avLst/>
                          </a:prstGeom>
                        </pic:spPr>
                      </pic:pic>
                    </a:graphicData>
                  </a:graphic>
                </wp:inline>
              </w:drawing>
            </w:r>
          </w:p>
          <w:p w14:paraId="378F3CEA" w14:textId="77777777" w:rsidR="00704F40" w:rsidRDefault="007A5391">
            <w:pPr>
              <w:rPr>
                <w:rFonts w:asciiTheme="minorHAnsi" w:hAnsiTheme="minorHAnsi" w:cstheme="minorHAnsi"/>
                <w:lang w:val="it-IT"/>
              </w:rPr>
            </w:pPr>
            <w:r w:rsidRPr="00DB1028">
              <w:rPr>
                <w:rFonts w:asciiTheme="minorHAnsi" w:hAnsiTheme="minorHAnsi" w:cstheme="minorHAnsi"/>
                <w:noProof/>
              </w:rPr>
              <w:lastRenderedPageBreak/>
              <w:drawing>
                <wp:inline distT="0" distB="0" distL="0" distR="0" wp14:anchorId="6DD7F20C" wp14:editId="768CA33E">
                  <wp:extent cx="3968750" cy="608842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88384" cy="6118543"/>
                          </a:xfrm>
                          <a:prstGeom prst="rect">
                            <a:avLst/>
                          </a:prstGeom>
                        </pic:spPr>
                      </pic:pic>
                    </a:graphicData>
                  </a:graphic>
                </wp:inline>
              </w:drawing>
            </w:r>
            <w:r w:rsidR="000B3B22" w:rsidRPr="00DB1028">
              <w:rPr>
                <w:rFonts w:asciiTheme="minorHAnsi" w:hAnsiTheme="minorHAnsi" w:cstheme="minorHAnsi"/>
                <w:noProof/>
              </w:rPr>
              <w:lastRenderedPageBreak/>
              <w:drawing>
                <wp:inline distT="0" distB="0" distL="0" distR="0" wp14:anchorId="2CDBE22A" wp14:editId="3C9872D8">
                  <wp:extent cx="3517900" cy="286293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36610" cy="2878162"/>
                          </a:xfrm>
                          <a:prstGeom prst="rect">
                            <a:avLst/>
                          </a:prstGeom>
                        </pic:spPr>
                      </pic:pic>
                    </a:graphicData>
                  </a:graphic>
                </wp:inline>
              </w:drawing>
            </w:r>
          </w:p>
          <w:p w14:paraId="37A99BD2" w14:textId="77777777" w:rsidR="00123CE0" w:rsidRDefault="00123CE0">
            <w:pPr>
              <w:rPr>
                <w:rFonts w:asciiTheme="minorHAnsi" w:hAnsiTheme="minorHAnsi" w:cstheme="minorHAnsi"/>
                <w:lang w:val="it-IT"/>
              </w:rPr>
            </w:pPr>
          </w:p>
          <w:p w14:paraId="1CE61833" w14:textId="77777777" w:rsidR="00123CE0" w:rsidRDefault="00123CE0">
            <w:pPr>
              <w:rPr>
                <w:rFonts w:asciiTheme="minorHAnsi" w:hAnsiTheme="minorHAnsi" w:cstheme="minorHAnsi"/>
                <w:lang w:val="it-IT"/>
              </w:rPr>
            </w:pPr>
          </w:p>
          <w:p w14:paraId="71FB2FD7" w14:textId="77777777" w:rsidR="00123CE0" w:rsidRDefault="00123CE0">
            <w:pPr>
              <w:rPr>
                <w:rFonts w:asciiTheme="minorHAnsi" w:hAnsiTheme="minorHAnsi" w:cstheme="minorHAnsi"/>
                <w:lang w:val="it-IT"/>
              </w:rPr>
            </w:pPr>
          </w:p>
          <w:p w14:paraId="3025D9DE" w14:textId="77777777" w:rsidR="00123CE0" w:rsidRDefault="00123CE0">
            <w:pPr>
              <w:rPr>
                <w:rFonts w:asciiTheme="minorHAnsi" w:hAnsiTheme="minorHAnsi" w:cstheme="minorHAnsi"/>
                <w:lang w:val="it-IT"/>
              </w:rPr>
            </w:pPr>
          </w:p>
          <w:p w14:paraId="75839F25" w14:textId="77777777" w:rsidR="00123CE0" w:rsidRDefault="00123CE0">
            <w:pPr>
              <w:rPr>
                <w:rFonts w:asciiTheme="minorHAnsi" w:hAnsiTheme="minorHAnsi" w:cstheme="minorHAnsi"/>
                <w:lang w:val="it-IT"/>
              </w:rPr>
            </w:pPr>
          </w:p>
          <w:p w14:paraId="41DD5185" w14:textId="77777777" w:rsidR="00123CE0" w:rsidRDefault="00123CE0">
            <w:pPr>
              <w:rPr>
                <w:rFonts w:asciiTheme="minorHAnsi" w:hAnsiTheme="minorHAnsi" w:cstheme="minorHAnsi"/>
                <w:lang w:val="it-IT"/>
              </w:rPr>
            </w:pPr>
          </w:p>
          <w:p w14:paraId="5F6523E2" w14:textId="77777777" w:rsidR="00123CE0" w:rsidRDefault="00123CE0">
            <w:pPr>
              <w:rPr>
                <w:rFonts w:asciiTheme="minorHAnsi" w:hAnsiTheme="minorHAnsi" w:cstheme="minorHAnsi"/>
                <w:lang w:val="it-IT"/>
              </w:rPr>
            </w:pPr>
          </w:p>
          <w:p w14:paraId="1822CA45" w14:textId="77777777" w:rsidR="00123CE0" w:rsidRDefault="00123CE0">
            <w:pPr>
              <w:rPr>
                <w:rFonts w:asciiTheme="minorHAnsi" w:hAnsiTheme="minorHAnsi" w:cstheme="minorHAnsi"/>
                <w:lang w:val="it-IT"/>
              </w:rPr>
            </w:pPr>
          </w:p>
          <w:p w14:paraId="37747666" w14:textId="77777777" w:rsidR="00123CE0" w:rsidRDefault="00123CE0">
            <w:pPr>
              <w:rPr>
                <w:rFonts w:asciiTheme="minorHAnsi" w:hAnsiTheme="minorHAnsi" w:cstheme="minorHAnsi"/>
                <w:lang w:val="it-IT"/>
              </w:rPr>
            </w:pPr>
          </w:p>
          <w:p w14:paraId="323B74C5" w14:textId="77777777" w:rsidR="00123CE0" w:rsidRDefault="00123CE0">
            <w:pPr>
              <w:rPr>
                <w:rFonts w:asciiTheme="minorHAnsi" w:hAnsiTheme="minorHAnsi" w:cstheme="minorHAnsi"/>
                <w:lang w:val="it-IT"/>
              </w:rPr>
            </w:pPr>
          </w:p>
          <w:p w14:paraId="20C84E2D" w14:textId="77777777" w:rsidR="00123CE0" w:rsidRDefault="00123CE0">
            <w:pPr>
              <w:rPr>
                <w:rFonts w:asciiTheme="minorHAnsi" w:hAnsiTheme="minorHAnsi" w:cstheme="minorHAnsi"/>
                <w:lang w:val="it-IT"/>
              </w:rPr>
            </w:pPr>
          </w:p>
          <w:p w14:paraId="287871D0" w14:textId="77777777" w:rsidR="00123CE0" w:rsidRDefault="00123CE0">
            <w:pPr>
              <w:rPr>
                <w:rFonts w:asciiTheme="minorHAnsi" w:hAnsiTheme="minorHAnsi" w:cstheme="minorHAnsi"/>
                <w:lang w:val="it-IT"/>
              </w:rPr>
            </w:pPr>
          </w:p>
          <w:p w14:paraId="00FE8BD0" w14:textId="77777777" w:rsidR="00123CE0" w:rsidRDefault="00123CE0">
            <w:pPr>
              <w:rPr>
                <w:rFonts w:asciiTheme="minorHAnsi" w:hAnsiTheme="minorHAnsi" w:cstheme="minorHAnsi"/>
                <w:lang w:val="it-IT"/>
              </w:rPr>
            </w:pPr>
          </w:p>
          <w:p w14:paraId="6786CC50" w14:textId="77777777" w:rsidR="00123CE0" w:rsidRDefault="00123CE0">
            <w:pPr>
              <w:rPr>
                <w:rFonts w:asciiTheme="minorHAnsi" w:hAnsiTheme="minorHAnsi" w:cstheme="minorHAnsi"/>
                <w:lang w:val="it-IT"/>
              </w:rPr>
            </w:pPr>
          </w:p>
          <w:p w14:paraId="25514F3F" w14:textId="77777777" w:rsidR="00123CE0" w:rsidRDefault="00123CE0">
            <w:pPr>
              <w:rPr>
                <w:rFonts w:asciiTheme="minorHAnsi" w:hAnsiTheme="minorHAnsi" w:cstheme="minorHAnsi"/>
                <w:lang w:val="it-IT"/>
              </w:rPr>
            </w:pPr>
          </w:p>
          <w:p w14:paraId="02EC8256" w14:textId="77777777" w:rsidR="00123CE0" w:rsidRDefault="00123CE0">
            <w:pPr>
              <w:rPr>
                <w:rFonts w:asciiTheme="minorHAnsi" w:hAnsiTheme="minorHAnsi" w:cstheme="minorHAnsi"/>
                <w:lang w:val="it-IT"/>
              </w:rPr>
            </w:pPr>
          </w:p>
          <w:p w14:paraId="270D6161" w14:textId="77777777" w:rsidR="00123CE0" w:rsidRDefault="00123CE0">
            <w:pPr>
              <w:rPr>
                <w:rFonts w:asciiTheme="minorHAnsi" w:hAnsiTheme="minorHAnsi" w:cstheme="minorHAnsi"/>
                <w:lang w:val="it-IT"/>
              </w:rPr>
            </w:pPr>
          </w:p>
          <w:p w14:paraId="6C09E57F" w14:textId="77777777" w:rsidR="00123CE0" w:rsidRDefault="00123CE0">
            <w:pPr>
              <w:rPr>
                <w:rFonts w:asciiTheme="minorHAnsi" w:hAnsiTheme="minorHAnsi" w:cstheme="minorHAnsi"/>
                <w:lang w:val="it-IT"/>
              </w:rPr>
            </w:pPr>
          </w:p>
          <w:p w14:paraId="34272BE7" w14:textId="77777777" w:rsidR="00123CE0" w:rsidRDefault="00123CE0">
            <w:pPr>
              <w:rPr>
                <w:rFonts w:asciiTheme="minorHAnsi" w:hAnsiTheme="minorHAnsi" w:cstheme="minorHAnsi"/>
                <w:lang w:val="it-IT"/>
              </w:rPr>
            </w:pPr>
          </w:p>
          <w:p w14:paraId="77391D2D" w14:textId="77777777" w:rsidR="00123CE0" w:rsidRDefault="00123CE0">
            <w:pPr>
              <w:rPr>
                <w:rFonts w:asciiTheme="minorHAnsi" w:hAnsiTheme="minorHAnsi" w:cstheme="minorHAnsi"/>
                <w:lang w:val="it-IT"/>
              </w:rPr>
            </w:pPr>
          </w:p>
          <w:p w14:paraId="4589C303" w14:textId="77777777" w:rsidR="00123CE0" w:rsidRDefault="00123CE0">
            <w:pPr>
              <w:rPr>
                <w:rFonts w:asciiTheme="minorHAnsi" w:hAnsiTheme="minorHAnsi" w:cstheme="minorHAnsi"/>
                <w:lang w:val="it-IT"/>
              </w:rPr>
            </w:pPr>
          </w:p>
          <w:p w14:paraId="47B72E39" w14:textId="6521320B" w:rsidR="00123CE0" w:rsidRPr="00DB1028" w:rsidRDefault="00123CE0">
            <w:pPr>
              <w:rPr>
                <w:rFonts w:asciiTheme="minorHAnsi" w:hAnsiTheme="minorHAnsi" w:cstheme="minorHAnsi"/>
                <w:lang w:val="it-IT"/>
              </w:rPr>
            </w:pPr>
          </w:p>
        </w:tc>
        <w:tc>
          <w:tcPr>
            <w:tcW w:w="7230" w:type="dxa"/>
          </w:tcPr>
          <w:p w14:paraId="270784DA" w14:textId="77777777" w:rsidR="0054137D" w:rsidRPr="00DB1028" w:rsidRDefault="00973B12">
            <w:pPr>
              <w:rPr>
                <w:rFonts w:asciiTheme="minorHAnsi" w:hAnsiTheme="minorHAnsi" w:cstheme="minorHAnsi"/>
                <w:lang w:val="it-IT"/>
              </w:rPr>
            </w:pPr>
            <w:r w:rsidRPr="00DB1028">
              <w:rPr>
                <w:rFonts w:asciiTheme="minorHAnsi" w:hAnsiTheme="minorHAnsi" w:cstheme="minorHAnsi"/>
                <w:noProof/>
              </w:rPr>
              <w:lastRenderedPageBreak/>
              <w:drawing>
                <wp:inline distT="0" distB="0" distL="0" distR="0" wp14:anchorId="6BC55732" wp14:editId="6739B859">
                  <wp:extent cx="3949743" cy="4711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92781" cy="4763041"/>
                          </a:xfrm>
                          <a:prstGeom prst="rect">
                            <a:avLst/>
                          </a:prstGeom>
                        </pic:spPr>
                      </pic:pic>
                    </a:graphicData>
                  </a:graphic>
                </wp:inline>
              </w:drawing>
            </w:r>
          </w:p>
          <w:p w14:paraId="52BE5EAD" w14:textId="77777777" w:rsidR="00704F40" w:rsidRPr="00DB1028" w:rsidRDefault="00704F40">
            <w:pPr>
              <w:rPr>
                <w:rFonts w:asciiTheme="minorHAnsi" w:hAnsiTheme="minorHAnsi" w:cstheme="minorHAnsi"/>
                <w:lang w:val="it-IT"/>
              </w:rPr>
            </w:pPr>
            <w:r w:rsidRPr="00DB1028">
              <w:rPr>
                <w:rFonts w:asciiTheme="minorHAnsi" w:hAnsiTheme="minorHAnsi" w:cstheme="minorHAnsi"/>
                <w:noProof/>
              </w:rPr>
              <w:lastRenderedPageBreak/>
              <w:drawing>
                <wp:inline distT="0" distB="0" distL="0" distR="0" wp14:anchorId="27154DD9" wp14:editId="30A615F9">
                  <wp:extent cx="3245924" cy="50101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95680" cy="5086949"/>
                          </a:xfrm>
                          <a:prstGeom prst="rect">
                            <a:avLst/>
                          </a:prstGeom>
                        </pic:spPr>
                      </pic:pic>
                    </a:graphicData>
                  </a:graphic>
                </wp:inline>
              </w:drawing>
            </w:r>
          </w:p>
          <w:p w14:paraId="3EE5358E" w14:textId="77777777" w:rsidR="00123CE0" w:rsidRDefault="00123CE0">
            <w:pPr>
              <w:rPr>
                <w:rFonts w:asciiTheme="minorHAnsi" w:hAnsiTheme="minorHAnsi" w:cstheme="minorHAnsi"/>
                <w:noProof/>
              </w:rPr>
            </w:pPr>
          </w:p>
          <w:p w14:paraId="298FBA28" w14:textId="77777777" w:rsidR="00123CE0" w:rsidRDefault="00123CE0">
            <w:pPr>
              <w:rPr>
                <w:rFonts w:asciiTheme="minorHAnsi" w:hAnsiTheme="minorHAnsi" w:cstheme="minorHAnsi"/>
                <w:noProof/>
              </w:rPr>
            </w:pPr>
          </w:p>
          <w:p w14:paraId="409916E9" w14:textId="77777777" w:rsidR="00123CE0" w:rsidRDefault="00123CE0">
            <w:pPr>
              <w:rPr>
                <w:rFonts w:asciiTheme="minorHAnsi" w:hAnsiTheme="minorHAnsi" w:cstheme="minorHAnsi"/>
                <w:noProof/>
              </w:rPr>
            </w:pPr>
          </w:p>
          <w:p w14:paraId="59752D94" w14:textId="09E5667A" w:rsidR="000B3B22" w:rsidRPr="00DB1028" w:rsidRDefault="009951C4">
            <w:pPr>
              <w:rPr>
                <w:rFonts w:asciiTheme="minorHAnsi" w:hAnsiTheme="minorHAnsi" w:cstheme="minorHAnsi"/>
                <w:lang w:val="it-IT"/>
              </w:rPr>
            </w:pPr>
            <w:r w:rsidRPr="00DB1028">
              <w:rPr>
                <w:rFonts w:asciiTheme="minorHAnsi" w:hAnsiTheme="minorHAnsi" w:cstheme="minorHAnsi"/>
                <w:noProof/>
              </w:rPr>
              <w:lastRenderedPageBreak/>
              <w:drawing>
                <wp:inline distT="0" distB="0" distL="0" distR="0" wp14:anchorId="7EBC94D4" wp14:editId="55E492CE">
                  <wp:extent cx="4381266" cy="53530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1716" cy="5390254"/>
                          </a:xfrm>
                          <a:prstGeom prst="rect">
                            <a:avLst/>
                          </a:prstGeom>
                        </pic:spPr>
                      </pic:pic>
                    </a:graphicData>
                  </a:graphic>
                </wp:inline>
              </w:drawing>
            </w:r>
          </w:p>
        </w:tc>
      </w:tr>
      <w:tr w:rsidR="00DB1028" w:rsidRPr="00B42B2B" w14:paraId="75DABB2A" w14:textId="77777777" w:rsidTr="00E04950">
        <w:tc>
          <w:tcPr>
            <w:tcW w:w="6946" w:type="dxa"/>
          </w:tcPr>
          <w:p w14:paraId="0ECBFE2A" w14:textId="77777777" w:rsidR="00536443" w:rsidRPr="00DB1028" w:rsidRDefault="00536443" w:rsidP="00536443">
            <w:pPr>
              <w:autoSpaceDE w:val="0"/>
              <w:autoSpaceDN w:val="0"/>
              <w:adjustRightInd w:val="0"/>
              <w:rPr>
                <w:rFonts w:asciiTheme="minorHAnsi" w:hAnsiTheme="minorHAnsi" w:cstheme="minorHAnsi"/>
                <w:i/>
                <w:iCs/>
                <w:lang w:val="it-IT"/>
              </w:rPr>
            </w:pPr>
            <w:r w:rsidRPr="00DB1028">
              <w:rPr>
                <w:rFonts w:asciiTheme="minorHAnsi" w:hAnsiTheme="minorHAnsi" w:cstheme="minorHAnsi"/>
                <w:i/>
                <w:iCs/>
                <w:lang w:val="it-IT"/>
              </w:rPr>
              <w:lastRenderedPageBreak/>
              <w:t>Sindrome da rilascio di citochine</w:t>
            </w:r>
          </w:p>
          <w:p w14:paraId="182B0909" w14:textId="77777777" w:rsidR="001731E7" w:rsidRDefault="00536443" w:rsidP="001731E7">
            <w:pPr>
              <w:autoSpaceDE w:val="0"/>
              <w:autoSpaceDN w:val="0"/>
              <w:adjustRightInd w:val="0"/>
              <w:rPr>
                <w:rFonts w:asciiTheme="minorHAnsi" w:hAnsiTheme="minorHAnsi" w:cstheme="minorHAnsi"/>
                <w:lang w:val="it-IT"/>
              </w:rPr>
            </w:pPr>
            <w:r w:rsidRPr="00DB1028">
              <w:rPr>
                <w:rFonts w:asciiTheme="minorHAnsi" w:hAnsiTheme="minorHAnsi" w:cstheme="minorHAnsi"/>
                <w:lang w:val="it-IT"/>
              </w:rPr>
              <w:t>Nello studio clinico in corso in pazienti pediatrici e giovani adulti con LLA a cellule B (N=79), la</w:t>
            </w:r>
            <w:r w:rsidR="001731E7">
              <w:rPr>
                <w:rFonts w:asciiTheme="minorHAnsi" w:hAnsiTheme="minorHAnsi" w:cstheme="minorHAnsi"/>
                <w:lang w:val="it-IT"/>
              </w:rPr>
              <w:t xml:space="preserve"> </w:t>
            </w:r>
            <w:r w:rsidRPr="00DB1028">
              <w:rPr>
                <w:rFonts w:asciiTheme="minorHAnsi" w:hAnsiTheme="minorHAnsi" w:cstheme="minorHAnsi"/>
                <w:lang w:val="it-IT"/>
              </w:rPr>
              <w:t xml:space="preserve">sindrome da rilascio di citochine è stata riportata nel 77% dei pazienti (il 48% con Grado 3 o 4). </w:t>
            </w:r>
          </w:p>
          <w:p w14:paraId="0905540F" w14:textId="77777777" w:rsidR="000B3B22" w:rsidRDefault="00536443" w:rsidP="001731E7">
            <w:pPr>
              <w:autoSpaceDE w:val="0"/>
              <w:autoSpaceDN w:val="0"/>
              <w:adjustRightInd w:val="0"/>
              <w:rPr>
                <w:rFonts w:asciiTheme="minorHAnsi" w:hAnsiTheme="minorHAnsi" w:cstheme="minorHAnsi"/>
                <w:lang w:val="it-IT"/>
              </w:rPr>
            </w:pPr>
            <w:r w:rsidRPr="009A43A6">
              <w:rPr>
                <w:rFonts w:asciiTheme="minorHAnsi" w:hAnsiTheme="minorHAnsi" w:cstheme="minorHAnsi"/>
                <w:strike/>
                <w:lang w:val="it-IT"/>
              </w:rPr>
              <w:t>Due</w:t>
            </w:r>
            <w:r w:rsidR="001731E7" w:rsidRPr="009A43A6">
              <w:rPr>
                <w:rFonts w:asciiTheme="minorHAnsi" w:hAnsiTheme="minorHAnsi" w:cstheme="minorHAnsi"/>
                <w:strike/>
                <w:lang w:val="it-IT"/>
              </w:rPr>
              <w:t xml:space="preserve"> </w:t>
            </w:r>
            <w:r w:rsidRPr="009A43A6">
              <w:rPr>
                <w:rFonts w:asciiTheme="minorHAnsi" w:hAnsiTheme="minorHAnsi" w:cstheme="minorHAnsi"/>
                <w:strike/>
                <w:lang w:val="it-IT"/>
              </w:rPr>
              <w:t xml:space="preserve">decessi si sono verificati entro 30 </w:t>
            </w:r>
            <w:r w:rsidRPr="009A43A6">
              <w:rPr>
                <w:rFonts w:asciiTheme="minorHAnsi" w:eastAsia="TimesNewRomanPSMT" w:hAnsiTheme="minorHAnsi" w:cstheme="minorHAnsi"/>
                <w:strike/>
                <w:lang w:val="it-IT"/>
              </w:rPr>
              <w:t xml:space="preserve">giorni dall’infusione di </w:t>
            </w:r>
            <w:proofErr w:type="spellStart"/>
            <w:r w:rsidRPr="009A43A6">
              <w:rPr>
                <w:rFonts w:asciiTheme="minorHAnsi" w:hAnsiTheme="minorHAnsi" w:cstheme="minorHAnsi"/>
                <w:strike/>
                <w:lang w:val="it-IT"/>
              </w:rPr>
              <w:t>tisagenlecleucel</w:t>
            </w:r>
            <w:proofErr w:type="spellEnd"/>
            <w:r w:rsidRPr="009A43A6">
              <w:rPr>
                <w:rFonts w:asciiTheme="minorHAnsi" w:hAnsiTheme="minorHAnsi" w:cstheme="minorHAnsi"/>
                <w:strike/>
                <w:lang w:val="it-IT"/>
              </w:rPr>
              <w:t>, comprendenti un paziente</w:t>
            </w:r>
            <w:r w:rsidR="00893BF4" w:rsidRPr="009A43A6">
              <w:rPr>
                <w:rFonts w:asciiTheme="minorHAnsi" w:hAnsiTheme="minorHAnsi" w:cstheme="minorHAnsi"/>
                <w:strike/>
                <w:lang w:val="it-IT"/>
              </w:rPr>
              <w:t xml:space="preserve"> </w:t>
            </w:r>
            <w:r w:rsidRPr="009A43A6">
              <w:rPr>
                <w:rFonts w:asciiTheme="minorHAnsi" w:hAnsiTheme="minorHAnsi" w:cstheme="minorHAnsi"/>
                <w:strike/>
                <w:lang w:val="it-IT"/>
              </w:rPr>
              <w:t>deceduto per progressione di leucemia nel contesto di una possibile sindrome da rilascio di citochine e</w:t>
            </w:r>
            <w:r w:rsidR="00893BF4" w:rsidRPr="009A43A6">
              <w:rPr>
                <w:rFonts w:asciiTheme="minorHAnsi" w:hAnsiTheme="minorHAnsi" w:cstheme="minorHAnsi"/>
                <w:strike/>
                <w:lang w:val="it-IT"/>
              </w:rPr>
              <w:t xml:space="preserve"> </w:t>
            </w:r>
            <w:r w:rsidRPr="009A43A6">
              <w:rPr>
                <w:rFonts w:asciiTheme="minorHAnsi" w:hAnsiTheme="minorHAnsi" w:cstheme="minorHAnsi"/>
                <w:strike/>
                <w:lang w:val="it-IT"/>
              </w:rPr>
              <w:t xml:space="preserve">un paziente </w:t>
            </w:r>
            <w:r w:rsidRPr="009A43A6">
              <w:rPr>
                <w:rFonts w:asciiTheme="minorHAnsi" w:eastAsia="TimesNewRomanPSMT" w:hAnsiTheme="minorHAnsi" w:cstheme="minorHAnsi"/>
                <w:strike/>
                <w:lang w:val="it-IT"/>
              </w:rPr>
              <w:t>che ha avuto un’emorragia intracranica fatale sviluppata</w:t>
            </w:r>
            <w:r w:rsidRPr="009A43A6">
              <w:rPr>
                <w:rFonts w:asciiTheme="minorHAnsi" w:hAnsiTheme="minorHAnsi" w:cstheme="minorHAnsi"/>
                <w:strike/>
                <w:lang w:val="it-IT"/>
              </w:rPr>
              <w:t>si nel corso di sindrome da</w:t>
            </w:r>
            <w:r w:rsidR="00893BF4" w:rsidRPr="009A43A6">
              <w:rPr>
                <w:rFonts w:asciiTheme="minorHAnsi" w:hAnsiTheme="minorHAnsi" w:cstheme="minorHAnsi"/>
                <w:strike/>
                <w:lang w:val="it-IT"/>
              </w:rPr>
              <w:t xml:space="preserve"> </w:t>
            </w:r>
            <w:r w:rsidRPr="009A43A6">
              <w:rPr>
                <w:rFonts w:asciiTheme="minorHAnsi" w:hAnsiTheme="minorHAnsi" w:cstheme="minorHAnsi"/>
                <w:strike/>
                <w:lang w:val="it-IT"/>
              </w:rPr>
              <w:t xml:space="preserve">rilascio di citochine </w:t>
            </w:r>
            <w:r w:rsidR="00893BF4" w:rsidRPr="009A43A6">
              <w:rPr>
                <w:rFonts w:asciiTheme="minorHAnsi" w:hAnsiTheme="minorHAnsi" w:cstheme="minorHAnsi"/>
                <w:strike/>
                <w:lang w:val="it-IT"/>
              </w:rPr>
              <w:t xml:space="preserve">in risoluzione, sindrome del compartimento addominale, coagulopatia e insufficienza </w:t>
            </w:r>
            <w:proofErr w:type="gramStart"/>
            <w:r w:rsidR="00893BF4" w:rsidRPr="009A43A6">
              <w:rPr>
                <w:rFonts w:asciiTheme="minorHAnsi" w:hAnsiTheme="minorHAnsi" w:cstheme="minorHAnsi"/>
                <w:strike/>
                <w:lang w:val="it-IT"/>
              </w:rPr>
              <w:t>renale</w:t>
            </w:r>
            <w:r w:rsidR="00893BF4" w:rsidRPr="00DB1028">
              <w:rPr>
                <w:rFonts w:asciiTheme="minorHAnsi" w:hAnsiTheme="minorHAnsi" w:cstheme="minorHAnsi"/>
                <w:lang w:val="it-IT"/>
              </w:rPr>
              <w:t>.</w:t>
            </w:r>
            <w:r w:rsidR="009A43A6">
              <w:rPr>
                <w:rFonts w:asciiTheme="minorHAnsi" w:hAnsiTheme="minorHAnsi" w:cstheme="minorHAnsi"/>
                <w:lang w:val="it-IT"/>
              </w:rPr>
              <w:t>[</w:t>
            </w:r>
            <w:proofErr w:type="gramEnd"/>
            <w:r w:rsidR="009A43A6">
              <w:rPr>
                <w:rFonts w:asciiTheme="minorHAnsi" w:hAnsiTheme="minorHAnsi" w:cstheme="minorHAnsi"/>
                <w:lang w:val="it-IT"/>
              </w:rPr>
              <w:t>…]</w:t>
            </w:r>
          </w:p>
          <w:p w14:paraId="01451915" w14:textId="33882522" w:rsidR="00BE04C8" w:rsidRPr="00DB1028" w:rsidRDefault="00BE04C8" w:rsidP="001731E7">
            <w:pPr>
              <w:autoSpaceDE w:val="0"/>
              <w:autoSpaceDN w:val="0"/>
              <w:adjustRightInd w:val="0"/>
              <w:rPr>
                <w:rFonts w:asciiTheme="minorHAnsi" w:hAnsiTheme="minorHAnsi" w:cstheme="minorHAnsi"/>
                <w:noProof/>
                <w:lang w:val="it-IT"/>
              </w:rPr>
            </w:pPr>
          </w:p>
        </w:tc>
        <w:tc>
          <w:tcPr>
            <w:tcW w:w="7230" w:type="dxa"/>
          </w:tcPr>
          <w:p w14:paraId="064E9EF5" w14:textId="77777777" w:rsidR="00893BF4" w:rsidRPr="00DB1028" w:rsidRDefault="00893BF4" w:rsidP="00893BF4">
            <w:pPr>
              <w:pStyle w:val="Default"/>
              <w:rPr>
                <w:rFonts w:asciiTheme="minorHAnsi" w:hAnsiTheme="minorHAnsi" w:cstheme="minorHAnsi"/>
                <w:sz w:val="20"/>
                <w:szCs w:val="20"/>
              </w:rPr>
            </w:pPr>
            <w:r w:rsidRPr="00DB1028">
              <w:rPr>
                <w:rFonts w:asciiTheme="minorHAnsi" w:hAnsiTheme="minorHAnsi" w:cstheme="minorHAnsi"/>
                <w:i/>
                <w:iCs/>
                <w:sz w:val="20"/>
                <w:szCs w:val="20"/>
              </w:rPr>
              <w:t xml:space="preserve">Sindrome da rilascio di citochine </w:t>
            </w:r>
          </w:p>
          <w:p w14:paraId="52DFFC31" w14:textId="07C84EF2" w:rsidR="007A5391" w:rsidRPr="00DB1028" w:rsidRDefault="00893BF4" w:rsidP="00893BF4">
            <w:pPr>
              <w:rPr>
                <w:rFonts w:asciiTheme="minorHAnsi" w:hAnsiTheme="minorHAnsi" w:cstheme="minorHAnsi"/>
                <w:noProof/>
                <w:lang w:val="it-IT"/>
              </w:rPr>
            </w:pPr>
            <w:r w:rsidRPr="00DB1028">
              <w:rPr>
                <w:rFonts w:asciiTheme="minorHAnsi" w:hAnsiTheme="minorHAnsi" w:cstheme="minorHAnsi"/>
                <w:lang w:val="it-IT"/>
              </w:rPr>
              <w:t>Negli studi clinici in pazienti pediatrici e giovani adulti con LLA a cellule B (N=212), la sindrome da rilascio di citochine è stata riportata nel 75% dei pazienti (il 37% con Grado 3 o 4; lo 0,5% [1 paziente] con esito fatale</w:t>
            </w:r>
            <w:proofErr w:type="gramStart"/>
            <w:r w:rsidRPr="00DB1028">
              <w:rPr>
                <w:rFonts w:asciiTheme="minorHAnsi" w:hAnsiTheme="minorHAnsi" w:cstheme="minorHAnsi"/>
                <w:lang w:val="it-IT"/>
              </w:rPr>
              <w:t>).</w:t>
            </w:r>
            <w:r w:rsidR="00AD5EE3">
              <w:rPr>
                <w:rFonts w:asciiTheme="minorHAnsi" w:hAnsiTheme="minorHAnsi" w:cstheme="minorHAnsi"/>
                <w:lang w:val="it-IT"/>
              </w:rPr>
              <w:t>[</w:t>
            </w:r>
            <w:proofErr w:type="gramEnd"/>
            <w:r w:rsidR="00AD5EE3">
              <w:rPr>
                <w:rFonts w:asciiTheme="minorHAnsi" w:hAnsiTheme="minorHAnsi" w:cstheme="minorHAnsi"/>
                <w:lang w:val="it-IT"/>
              </w:rPr>
              <w:t>…]</w:t>
            </w:r>
          </w:p>
        </w:tc>
      </w:tr>
      <w:tr w:rsidR="00123CE0" w:rsidRPr="00B42B2B" w14:paraId="2A510FE4" w14:textId="77777777" w:rsidTr="00E04950">
        <w:tc>
          <w:tcPr>
            <w:tcW w:w="6946" w:type="dxa"/>
          </w:tcPr>
          <w:p w14:paraId="091956C9" w14:textId="77777777" w:rsidR="00341D4D" w:rsidRPr="00DB1028" w:rsidRDefault="00341D4D" w:rsidP="00341D4D">
            <w:pPr>
              <w:autoSpaceDE w:val="0"/>
              <w:autoSpaceDN w:val="0"/>
              <w:adjustRightInd w:val="0"/>
              <w:rPr>
                <w:rFonts w:asciiTheme="minorHAnsi" w:hAnsiTheme="minorHAnsi" w:cstheme="minorHAnsi"/>
                <w:i/>
                <w:iCs/>
                <w:lang w:val="it-IT"/>
              </w:rPr>
            </w:pPr>
            <w:r w:rsidRPr="00DB1028">
              <w:rPr>
                <w:rFonts w:asciiTheme="minorHAnsi" w:hAnsiTheme="minorHAnsi" w:cstheme="minorHAnsi"/>
                <w:i/>
                <w:iCs/>
                <w:lang w:val="it-IT"/>
              </w:rPr>
              <w:t>Citopenie prolungate</w:t>
            </w:r>
          </w:p>
          <w:p w14:paraId="2C231BBC" w14:textId="77777777" w:rsidR="00341D4D" w:rsidRPr="00DB1028" w:rsidRDefault="00341D4D" w:rsidP="00341D4D">
            <w:pPr>
              <w:autoSpaceDE w:val="0"/>
              <w:autoSpaceDN w:val="0"/>
              <w:adjustRightInd w:val="0"/>
              <w:rPr>
                <w:rFonts w:asciiTheme="minorHAnsi" w:hAnsiTheme="minorHAnsi" w:cstheme="minorHAnsi"/>
                <w:lang w:val="it-IT"/>
              </w:rPr>
            </w:pPr>
            <w:r w:rsidRPr="00DB1028">
              <w:rPr>
                <w:rFonts w:asciiTheme="minorHAnsi" w:hAnsiTheme="minorHAnsi" w:cstheme="minorHAnsi"/>
                <w:lang w:val="it-IT"/>
              </w:rPr>
              <w:t xml:space="preserve">Le citopenie sono molto comuni sulla base di precedenti chemioterapie e terapia con </w:t>
            </w:r>
            <w:proofErr w:type="spellStart"/>
            <w:r w:rsidRPr="00DB1028">
              <w:rPr>
                <w:rFonts w:asciiTheme="minorHAnsi" w:hAnsiTheme="minorHAnsi" w:cstheme="minorHAnsi"/>
                <w:lang w:val="it-IT"/>
              </w:rPr>
              <w:t>Kymriah</w:t>
            </w:r>
            <w:proofErr w:type="spellEnd"/>
            <w:r w:rsidRPr="00DB1028">
              <w:rPr>
                <w:rFonts w:asciiTheme="minorHAnsi" w:hAnsiTheme="minorHAnsi" w:cstheme="minorHAnsi"/>
                <w:lang w:val="it-IT"/>
              </w:rPr>
              <w:t>.</w:t>
            </w:r>
          </w:p>
          <w:p w14:paraId="5B2CB28B" w14:textId="1A8E5AEC" w:rsidR="00341D4D" w:rsidRPr="00DB1028" w:rsidRDefault="00341D4D" w:rsidP="00341D4D">
            <w:pPr>
              <w:autoSpaceDE w:val="0"/>
              <w:autoSpaceDN w:val="0"/>
              <w:adjustRightInd w:val="0"/>
              <w:rPr>
                <w:rFonts w:asciiTheme="minorHAnsi" w:hAnsiTheme="minorHAnsi" w:cstheme="minorHAnsi"/>
                <w:lang w:val="it-IT"/>
              </w:rPr>
            </w:pPr>
            <w:r w:rsidRPr="00DB1028">
              <w:rPr>
                <w:rFonts w:asciiTheme="minorHAnsi" w:hAnsiTheme="minorHAnsi" w:cstheme="minorHAnsi"/>
                <w:lang w:val="it-IT"/>
              </w:rPr>
              <w:t>In tutti i pazienti pediatrici e giovani adulti con LLA a cellule B sono state riportate citopenie di</w:t>
            </w:r>
            <w:r w:rsidR="00AD5EE3">
              <w:rPr>
                <w:rFonts w:asciiTheme="minorHAnsi" w:hAnsiTheme="minorHAnsi" w:cstheme="minorHAnsi"/>
                <w:lang w:val="it-IT"/>
              </w:rPr>
              <w:t xml:space="preserve"> </w:t>
            </w:r>
            <w:r w:rsidRPr="00DB1028">
              <w:rPr>
                <w:rFonts w:asciiTheme="minorHAnsi" w:hAnsiTheme="minorHAnsi" w:cstheme="minorHAnsi"/>
                <w:lang w:val="it-IT"/>
              </w:rPr>
              <w:t xml:space="preserve">Grado 3 e 4 </w:t>
            </w:r>
            <w:r w:rsidRPr="00DB1028">
              <w:rPr>
                <w:rFonts w:asciiTheme="minorHAnsi" w:eastAsia="TimesNewRomanPSMT" w:hAnsiTheme="minorHAnsi" w:cstheme="minorHAnsi"/>
                <w:lang w:val="it-IT"/>
              </w:rPr>
              <w:t xml:space="preserve">qualche tempo dopo l’infusione di </w:t>
            </w:r>
            <w:proofErr w:type="spellStart"/>
            <w:r w:rsidRPr="00DB1028">
              <w:rPr>
                <w:rFonts w:asciiTheme="minorHAnsi" w:eastAsia="TimesNewRomanPSMT" w:hAnsiTheme="minorHAnsi" w:cstheme="minorHAnsi"/>
                <w:lang w:val="it-IT"/>
              </w:rPr>
              <w:t>Kymriah</w:t>
            </w:r>
            <w:proofErr w:type="spellEnd"/>
            <w:r w:rsidRPr="00DB1028">
              <w:rPr>
                <w:rFonts w:asciiTheme="minorHAnsi" w:eastAsia="TimesNewRomanPSMT" w:hAnsiTheme="minorHAnsi" w:cstheme="minorHAnsi"/>
                <w:lang w:val="it-IT"/>
              </w:rPr>
              <w:t xml:space="preserve">. Le citopenie di Grado </w:t>
            </w:r>
            <w:r w:rsidRPr="00DB1028">
              <w:rPr>
                <w:rFonts w:asciiTheme="minorHAnsi" w:hAnsiTheme="minorHAnsi" w:cstheme="minorHAnsi"/>
                <w:lang w:val="it-IT"/>
              </w:rPr>
              <w:t>3 e 4 non risolte entro</w:t>
            </w:r>
            <w:r w:rsidR="00AD5EE3">
              <w:rPr>
                <w:rFonts w:asciiTheme="minorHAnsi" w:hAnsiTheme="minorHAnsi" w:cstheme="minorHAnsi"/>
                <w:lang w:val="it-IT"/>
              </w:rPr>
              <w:t xml:space="preserve"> </w:t>
            </w:r>
            <w:r w:rsidRPr="00DB1028">
              <w:rPr>
                <w:rFonts w:asciiTheme="minorHAnsi" w:hAnsiTheme="minorHAnsi" w:cstheme="minorHAnsi"/>
                <w:lang w:val="it-IT"/>
              </w:rPr>
              <w:t xml:space="preserve">il giorno 28 dopo infusione di </w:t>
            </w:r>
            <w:proofErr w:type="spellStart"/>
            <w:r w:rsidRPr="00DB1028">
              <w:rPr>
                <w:rFonts w:asciiTheme="minorHAnsi" w:hAnsiTheme="minorHAnsi" w:cstheme="minorHAnsi"/>
                <w:lang w:val="it-IT"/>
              </w:rPr>
              <w:t>Kymriah</w:t>
            </w:r>
            <w:proofErr w:type="spellEnd"/>
            <w:r w:rsidRPr="00DB1028">
              <w:rPr>
                <w:rFonts w:asciiTheme="minorHAnsi" w:hAnsiTheme="minorHAnsi" w:cstheme="minorHAnsi"/>
                <w:lang w:val="it-IT"/>
              </w:rPr>
              <w:t xml:space="preserve"> sulla base di risultati di laboratorio includevano riduzione</w:t>
            </w:r>
            <w:r w:rsidR="00AD5EE3">
              <w:rPr>
                <w:rFonts w:asciiTheme="minorHAnsi" w:hAnsiTheme="minorHAnsi" w:cstheme="minorHAnsi"/>
                <w:lang w:val="it-IT"/>
              </w:rPr>
              <w:t xml:space="preserve"> </w:t>
            </w:r>
            <w:r w:rsidRPr="00DB1028">
              <w:rPr>
                <w:rFonts w:asciiTheme="minorHAnsi" w:hAnsiTheme="minorHAnsi" w:cstheme="minorHAnsi"/>
                <w:lang w:val="it-IT"/>
              </w:rPr>
              <w:t>della conta dei globuli bianchi (</w:t>
            </w:r>
            <w:r w:rsidRPr="00286630">
              <w:rPr>
                <w:rFonts w:asciiTheme="minorHAnsi" w:hAnsiTheme="minorHAnsi" w:cstheme="minorHAnsi"/>
                <w:highlight w:val="yellow"/>
                <w:lang w:val="it-IT"/>
              </w:rPr>
              <w:t>57%</w:t>
            </w:r>
            <w:r w:rsidRPr="00DB1028">
              <w:rPr>
                <w:rFonts w:asciiTheme="minorHAnsi" w:hAnsiTheme="minorHAnsi" w:cstheme="minorHAnsi"/>
                <w:lang w:val="it-IT"/>
              </w:rPr>
              <w:t>), dei neutrofili (</w:t>
            </w:r>
            <w:r w:rsidRPr="00286630">
              <w:rPr>
                <w:rFonts w:asciiTheme="minorHAnsi" w:hAnsiTheme="minorHAnsi" w:cstheme="minorHAnsi"/>
                <w:highlight w:val="yellow"/>
                <w:lang w:val="it-IT"/>
              </w:rPr>
              <w:t>54%</w:t>
            </w:r>
            <w:r w:rsidRPr="00DB1028">
              <w:rPr>
                <w:rFonts w:asciiTheme="minorHAnsi" w:hAnsiTheme="minorHAnsi" w:cstheme="minorHAnsi"/>
                <w:lang w:val="it-IT"/>
              </w:rPr>
              <w:t>), dei linfociti (43%), dei trombociti</w:t>
            </w:r>
            <w:r w:rsidR="00286630">
              <w:rPr>
                <w:rFonts w:asciiTheme="minorHAnsi" w:hAnsiTheme="minorHAnsi" w:cstheme="minorHAnsi"/>
                <w:lang w:val="it-IT"/>
              </w:rPr>
              <w:t xml:space="preserve"> </w:t>
            </w:r>
            <w:r w:rsidRPr="00DB1028">
              <w:rPr>
                <w:rFonts w:asciiTheme="minorHAnsi" w:hAnsiTheme="minorHAnsi" w:cstheme="minorHAnsi"/>
                <w:lang w:val="it-IT"/>
              </w:rPr>
              <w:t>(</w:t>
            </w:r>
            <w:r w:rsidRPr="00286630">
              <w:rPr>
                <w:rFonts w:asciiTheme="minorHAnsi" w:hAnsiTheme="minorHAnsi" w:cstheme="minorHAnsi"/>
                <w:highlight w:val="yellow"/>
                <w:lang w:val="it-IT"/>
              </w:rPr>
              <w:t>42%</w:t>
            </w:r>
            <w:r w:rsidRPr="00DB1028">
              <w:rPr>
                <w:rFonts w:asciiTheme="minorHAnsi" w:hAnsiTheme="minorHAnsi" w:cstheme="minorHAnsi"/>
                <w:lang w:val="it-IT"/>
              </w:rPr>
              <w:t>) e</w:t>
            </w:r>
            <w:r w:rsidR="00AD5EE3">
              <w:rPr>
                <w:rFonts w:asciiTheme="minorHAnsi" w:hAnsiTheme="minorHAnsi" w:cstheme="minorHAnsi"/>
                <w:lang w:val="it-IT"/>
              </w:rPr>
              <w:t xml:space="preserve"> </w:t>
            </w:r>
            <w:r w:rsidRPr="00DB1028">
              <w:rPr>
                <w:rFonts w:asciiTheme="minorHAnsi" w:eastAsia="TimesNewRomanPSMT" w:hAnsiTheme="minorHAnsi" w:cstheme="minorHAnsi"/>
                <w:lang w:val="it-IT"/>
              </w:rPr>
              <w:t xml:space="preserve">riduzione dell’emoglobina </w:t>
            </w:r>
            <w:r w:rsidRPr="00DB1028">
              <w:rPr>
                <w:rFonts w:asciiTheme="minorHAnsi" w:hAnsiTheme="minorHAnsi" w:cstheme="minorHAnsi"/>
                <w:lang w:val="it-IT"/>
              </w:rPr>
              <w:t>(</w:t>
            </w:r>
            <w:r w:rsidRPr="00286630">
              <w:rPr>
                <w:rFonts w:asciiTheme="minorHAnsi" w:hAnsiTheme="minorHAnsi" w:cstheme="minorHAnsi"/>
                <w:highlight w:val="yellow"/>
                <w:lang w:val="it-IT"/>
              </w:rPr>
              <w:t>13%</w:t>
            </w:r>
            <w:r w:rsidRPr="00DB1028">
              <w:rPr>
                <w:rFonts w:asciiTheme="minorHAnsi" w:hAnsiTheme="minorHAnsi" w:cstheme="minorHAnsi"/>
                <w:lang w:val="it-IT"/>
              </w:rPr>
              <w:t>).</w:t>
            </w:r>
          </w:p>
          <w:p w14:paraId="6B8799FF" w14:textId="02F677E2" w:rsidR="00341D4D" w:rsidRPr="00DB1028" w:rsidRDefault="00341D4D" w:rsidP="00341D4D">
            <w:pPr>
              <w:autoSpaceDE w:val="0"/>
              <w:autoSpaceDN w:val="0"/>
              <w:adjustRightInd w:val="0"/>
              <w:rPr>
                <w:rFonts w:asciiTheme="minorHAnsi" w:hAnsiTheme="minorHAnsi" w:cstheme="minorHAnsi"/>
                <w:lang w:val="it-IT"/>
              </w:rPr>
            </w:pPr>
            <w:r w:rsidRPr="00DB1028">
              <w:rPr>
                <w:rFonts w:asciiTheme="minorHAnsi" w:hAnsiTheme="minorHAnsi" w:cstheme="minorHAnsi"/>
                <w:lang w:val="it-IT"/>
              </w:rPr>
              <w:t>In tutti i pazienti adulti con DLBCL sono state riportate citopenie di Grado 3 e 4 qualche tempo dopo</w:t>
            </w:r>
            <w:r w:rsidR="00AD5EE3">
              <w:rPr>
                <w:rFonts w:asciiTheme="minorHAnsi" w:hAnsiTheme="minorHAnsi" w:cstheme="minorHAnsi"/>
                <w:lang w:val="it-IT"/>
              </w:rPr>
              <w:t xml:space="preserve"> </w:t>
            </w:r>
            <w:r w:rsidRPr="00DB1028">
              <w:rPr>
                <w:rFonts w:asciiTheme="minorHAnsi" w:eastAsia="TimesNewRomanPSMT" w:hAnsiTheme="minorHAnsi" w:cstheme="minorHAnsi"/>
                <w:lang w:val="it-IT"/>
              </w:rPr>
              <w:t xml:space="preserve">l’infusione di </w:t>
            </w:r>
            <w:proofErr w:type="spellStart"/>
            <w:r w:rsidRPr="00DB1028">
              <w:rPr>
                <w:rFonts w:asciiTheme="minorHAnsi" w:eastAsia="TimesNewRomanPSMT" w:hAnsiTheme="minorHAnsi" w:cstheme="minorHAnsi"/>
                <w:lang w:val="it-IT"/>
              </w:rPr>
              <w:t>Kymriah</w:t>
            </w:r>
            <w:proofErr w:type="spellEnd"/>
            <w:r w:rsidRPr="00DB1028">
              <w:rPr>
                <w:rFonts w:asciiTheme="minorHAnsi" w:eastAsia="TimesNewRomanPSMT" w:hAnsiTheme="minorHAnsi" w:cstheme="minorHAnsi"/>
                <w:lang w:val="it-IT"/>
              </w:rPr>
              <w:t xml:space="preserve">. Le </w:t>
            </w:r>
            <w:r w:rsidRPr="00DB1028">
              <w:rPr>
                <w:rFonts w:asciiTheme="minorHAnsi" w:hAnsiTheme="minorHAnsi" w:cstheme="minorHAnsi"/>
                <w:lang w:val="it-IT"/>
              </w:rPr>
              <w:t>citopenie di Grado 3 e 4 non risolte entro il giorno 28 sulla base di risultati</w:t>
            </w:r>
            <w:r w:rsidR="00AD5EE3">
              <w:rPr>
                <w:rFonts w:asciiTheme="minorHAnsi" w:hAnsiTheme="minorHAnsi" w:cstheme="minorHAnsi"/>
                <w:lang w:val="it-IT"/>
              </w:rPr>
              <w:t xml:space="preserve"> </w:t>
            </w:r>
            <w:r w:rsidRPr="00DB1028">
              <w:rPr>
                <w:rFonts w:asciiTheme="minorHAnsi" w:hAnsiTheme="minorHAnsi" w:cstheme="minorHAnsi"/>
                <w:lang w:val="it-IT"/>
              </w:rPr>
              <w:t>di laboratorio includevano riduzione della conta dei trombociti (39%), dei linfociti (29%), dei</w:t>
            </w:r>
            <w:r w:rsidR="00AD5EE3">
              <w:rPr>
                <w:rFonts w:asciiTheme="minorHAnsi" w:hAnsiTheme="minorHAnsi" w:cstheme="minorHAnsi"/>
                <w:lang w:val="it-IT"/>
              </w:rPr>
              <w:t xml:space="preserve"> </w:t>
            </w:r>
            <w:r w:rsidRPr="00DB1028">
              <w:rPr>
                <w:rFonts w:asciiTheme="minorHAnsi" w:hAnsiTheme="minorHAnsi" w:cstheme="minorHAnsi"/>
                <w:lang w:val="it-IT"/>
              </w:rPr>
              <w:t xml:space="preserve">neutrofili (25%), e dei globuli bianchi (21%) e </w:t>
            </w:r>
            <w:r w:rsidRPr="00DB1028">
              <w:rPr>
                <w:rFonts w:asciiTheme="minorHAnsi" w:eastAsia="TimesNewRomanPSMT" w:hAnsiTheme="minorHAnsi" w:cstheme="minorHAnsi"/>
                <w:lang w:val="it-IT"/>
              </w:rPr>
              <w:t xml:space="preserve">riduzione dell’emoglobina </w:t>
            </w:r>
            <w:r w:rsidRPr="00DB1028">
              <w:rPr>
                <w:rFonts w:asciiTheme="minorHAnsi" w:hAnsiTheme="minorHAnsi" w:cstheme="minorHAnsi"/>
                <w:lang w:val="it-IT"/>
              </w:rPr>
              <w:t>(14%).</w:t>
            </w:r>
          </w:p>
          <w:p w14:paraId="54762555" w14:textId="4B4DC439" w:rsidR="00893BF4" w:rsidRPr="00DB1028" w:rsidRDefault="00341D4D" w:rsidP="00341D4D">
            <w:pPr>
              <w:autoSpaceDE w:val="0"/>
              <w:autoSpaceDN w:val="0"/>
              <w:adjustRightInd w:val="0"/>
              <w:rPr>
                <w:rFonts w:asciiTheme="minorHAnsi" w:hAnsiTheme="minorHAnsi" w:cstheme="minorHAnsi"/>
                <w:lang w:val="it-IT"/>
              </w:rPr>
            </w:pPr>
            <w:r w:rsidRPr="00DB1028">
              <w:rPr>
                <w:rFonts w:asciiTheme="minorHAnsi" w:hAnsiTheme="minorHAnsi" w:cstheme="minorHAnsi"/>
                <w:lang w:val="it-IT"/>
              </w:rPr>
              <w:t>Il 99% dei pazienti adulti con LF ha avuto citopenie di Grado 3 e 4 in qualsiasi momento dopo</w:t>
            </w:r>
            <w:r w:rsidR="00AD5EE3">
              <w:rPr>
                <w:rFonts w:asciiTheme="minorHAnsi" w:hAnsiTheme="minorHAnsi" w:cstheme="minorHAnsi"/>
                <w:lang w:val="it-IT"/>
              </w:rPr>
              <w:t xml:space="preserve"> </w:t>
            </w:r>
            <w:r w:rsidRPr="00DB1028">
              <w:rPr>
                <w:rFonts w:asciiTheme="minorHAnsi" w:eastAsia="TimesNewRomanPSMT" w:hAnsiTheme="minorHAnsi" w:cstheme="minorHAnsi"/>
                <w:lang w:val="it-IT"/>
              </w:rPr>
              <w:t xml:space="preserve">l’infusione di </w:t>
            </w:r>
            <w:proofErr w:type="spellStart"/>
            <w:r w:rsidRPr="00DB1028">
              <w:rPr>
                <w:rFonts w:asciiTheme="minorHAnsi" w:eastAsia="TimesNewRomanPSMT" w:hAnsiTheme="minorHAnsi" w:cstheme="minorHAnsi"/>
                <w:lang w:val="it-IT"/>
              </w:rPr>
              <w:t>Kymriah</w:t>
            </w:r>
            <w:proofErr w:type="spellEnd"/>
            <w:r w:rsidRPr="00DB1028">
              <w:rPr>
                <w:rFonts w:asciiTheme="minorHAnsi" w:eastAsia="TimesNewRomanPSMT" w:hAnsiTheme="minorHAnsi" w:cstheme="minorHAnsi"/>
                <w:lang w:val="it-IT"/>
              </w:rPr>
              <w:t xml:space="preserve">. Le citopenie di Grado </w:t>
            </w:r>
            <w:r w:rsidRPr="00DB1028">
              <w:rPr>
                <w:rFonts w:asciiTheme="minorHAnsi" w:hAnsiTheme="minorHAnsi" w:cstheme="minorHAnsi"/>
                <w:lang w:val="it-IT"/>
              </w:rPr>
              <w:t xml:space="preserve">3 e 4 non risolte entro il giorno </w:t>
            </w:r>
            <w:r w:rsidRPr="00DB1028">
              <w:rPr>
                <w:rFonts w:asciiTheme="minorHAnsi" w:eastAsia="TimesNewRomanPSMT" w:hAnsiTheme="minorHAnsi" w:cstheme="minorHAnsi"/>
                <w:lang w:val="it-IT"/>
              </w:rPr>
              <w:t>28 dopo l’infusione di</w:t>
            </w:r>
            <w:r w:rsidR="00AD5EE3">
              <w:rPr>
                <w:rFonts w:asciiTheme="minorHAnsi" w:eastAsia="TimesNewRomanPSMT" w:hAnsiTheme="minorHAnsi" w:cstheme="minorHAnsi"/>
                <w:lang w:val="it-IT"/>
              </w:rPr>
              <w:t xml:space="preserve"> </w:t>
            </w:r>
            <w:proofErr w:type="spellStart"/>
            <w:r w:rsidRPr="00DB1028">
              <w:rPr>
                <w:rFonts w:asciiTheme="minorHAnsi" w:hAnsiTheme="minorHAnsi" w:cstheme="minorHAnsi"/>
                <w:lang w:val="it-IT"/>
              </w:rPr>
              <w:t>Kymriah</w:t>
            </w:r>
            <w:proofErr w:type="spellEnd"/>
            <w:r w:rsidRPr="00DB1028">
              <w:rPr>
                <w:rFonts w:asciiTheme="minorHAnsi" w:hAnsiTheme="minorHAnsi" w:cstheme="minorHAnsi"/>
                <w:lang w:val="it-IT"/>
              </w:rPr>
              <w:t xml:space="preserve"> sulla base di risultati di laboratorio includevano una riduzione della conta dei linfociti (23%),</w:t>
            </w:r>
            <w:r w:rsidR="00AD5EE3">
              <w:rPr>
                <w:rFonts w:asciiTheme="minorHAnsi" w:hAnsiTheme="minorHAnsi" w:cstheme="minorHAnsi"/>
                <w:lang w:val="it-IT"/>
              </w:rPr>
              <w:t xml:space="preserve"> </w:t>
            </w:r>
            <w:r w:rsidRPr="00DB1028">
              <w:rPr>
                <w:rFonts w:asciiTheme="minorHAnsi" w:hAnsiTheme="minorHAnsi" w:cstheme="minorHAnsi"/>
                <w:lang w:val="it-IT"/>
              </w:rPr>
              <w:t xml:space="preserve">dei trombociti (17%), dei neutrofili (16%), dei globuli bianchi </w:t>
            </w:r>
            <w:r w:rsidRPr="00DB1028">
              <w:rPr>
                <w:rFonts w:asciiTheme="minorHAnsi" w:eastAsia="TimesNewRomanPSMT" w:hAnsiTheme="minorHAnsi" w:cstheme="minorHAnsi"/>
                <w:lang w:val="it-IT"/>
              </w:rPr>
              <w:t>(13%) e riduzione dell’emoglobina</w:t>
            </w:r>
            <w:r w:rsidR="00AD5EE3">
              <w:rPr>
                <w:rFonts w:asciiTheme="minorHAnsi" w:eastAsia="TimesNewRomanPSMT" w:hAnsiTheme="minorHAnsi" w:cstheme="minorHAnsi"/>
                <w:lang w:val="it-IT"/>
              </w:rPr>
              <w:t xml:space="preserve"> </w:t>
            </w:r>
            <w:r w:rsidRPr="00DB1028">
              <w:rPr>
                <w:rFonts w:asciiTheme="minorHAnsi" w:hAnsiTheme="minorHAnsi" w:cstheme="minorHAnsi"/>
                <w:lang w:val="it-IT"/>
              </w:rPr>
              <w:t>(3%).</w:t>
            </w:r>
          </w:p>
          <w:p w14:paraId="527B826A" w14:textId="5845B5C0" w:rsidR="001C4E46" w:rsidRPr="00DB1028" w:rsidRDefault="001C4E46" w:rsidP="00341D4D">
            <w:pPr>
              <w:autoSpaceDE w:val="0"/>
              <w:autoSpaceDN w:val="0"/>
              <w:adjustRightInd w:val="0"/>
              <w:rPr>
                <w:rFonts w:asciiTheme="minorHAnsi" w:hAnsiTheme="minorHAnsi" w:cstheme="minorHAnsi"/>
                <w:i/>
                <w:iCs/>
                <w:lang w:val="it-IT"/>
              </w:rPr>
            </w:pPr>
          </w:p>
        </w:tc>
        <w:tc>
          <w:tcPr>
            <w:tcW w:w="7230" w:type="dxa"/>
          </w:tcPr>
          <w:p w14:paraId="63CCB2DE" w14:textId="77777777" w:rsidR="001C4E46" w:rsidRPr="00DB1028" w:rsidRDefault="001C4E46" w:rsidP="001C4E46">
            <w:pPr>
              <w:pStyle w:val="Default"/>
              <w:rPr>
                <w:rFonts w:asciiTheme="minorHAnsi" w:hAnsiTheme="minorHAnsi" w:cstheme="minorHAnsi"/>
                <w:sz w:val="20"/>
                <w:szCs w:val="20"/>
              </w:rPr>
            </w:pPr>
            <w:r w:rsidRPr="00DB1028">
              <w:rPr>
                <w:rFonts w:asciiTheme="minorHAnsi" w:hAnsiTheme="minorHAnsi" w:cstheme="minorHAnsi"/>
                <w:i/>
                <w:iCs/>
                <w:sz w:val="20"/>
                <w:szCs w:val="20"/>
              </w:rPr>
              <w:t xml:space="preserve">Citopenie prolungate </w:t>
            </w:r>
          </w:p>
          <w:p w14:paraId="3EF6D287" w14:textId="77777777" w:rsidR="001C4E46" w:rsidRPr="00DB1028" w:rsidRDefault="001C4E46" w:rsidP="001C4E46">
            <w:pPr>
              <w:pStyle w:val="Default"/>
              <w:rPr>
                <w:rFonts w:asciiTheme="minorHAnsi" w:hAnsiTheme="minorHAnsi" w:cstheme="minorHAnsi"/>
                <w:sz w:val="20"/>
                <w:szCs w:val="20"/>
              </w:rPr>
            </w:pPr>
            <w:r w:rsidRPr="00DB1028">
              <w:rPr>
                <w:rFonts w:asciiTheme="minorHAnsi" w:hAnsiTheme="minorHAnsi" w:cstheme="minorHAnsi"/>
                <w:sz w:val="20"/>
                <w:szCs w:val="20"/>
              </w:rPr>
              <w:t xml:space="preserve">Le citopenie sono molto comuni sulla base di precedenti chemioterapie e terapia con </w:t>
            </w:r>
            <w:proofErr w:type="spellStart"/>
            <w:r w:rsidRPr="00DB1028">
              <w:rPr>
                <w:rFonts w:asciiTheme="minorHAnsi" w:hAnsiTheme="minorHAnsi" w:cstheme="minorHAnsi"/>
                <w:sz w:val="20"/>
                <w:szCs w:val="20"/>
              </w:rPr>
              <w:t>Kymriah</w:t>
            </w:r>
            <w:proofErr w:type="spellEnd"/>
            <w:r w:rsidRPr="00DB1028">
              <w:rPr>
                <w:rFonts w:asciiTheme="minorHAnsi" w:hAnsiTheme="minorHAnsi" w:cstheme="minorHAnsi"/>
                <w:sz w:val="20"/>
                <w:szCs w:val="20"/>
              </w:rPr>
              <w:t xml:space="preserve">. </w:t>
            </w:r>
          </w:p>
          <w:p w14:paraId="1DF763C1" w14:textId="6242D365" w:rsidR="001C4E46" w:rsidRPr="00DB1028" w:rsidRDefault="001C4E46" w:rsidP="001C4E46">
            <w:pPr>
              <w:pStyle w:val="Default"/>
              <w:rPr>
                <w:rFonts w:asciiTheme="minorHAnsi" w:hAnsiTheme="minorHAnsi" w:cstheme="minorHAnsi"/>
                <w:sz w:val="20"/>
                <w:szCs w:val="20"/>
              </w:rPr>
            </w:pPr>
            <w:r w:rsidRPr="00DB1028">
              <w:rPr>
                <w:rFonts w:asciiTheme="minorHAnsi" w:hAnsiTheme="minorHAnsi" w:cstheme="minorHAnsi"/>
                <w:sz w:val="20"/>
                <w:szCs w:val="20"/>
              </w:rPr>
              <w:t xml:space="preserve">In tutti i pazienti pediatrici e giovani adulti con LLA a cellule B sono state riportate citopenie di Grado 3 e 4 qualche tempo dopo l’infusione di </w:t>
            </w:r>
            <w:proofErr w:type="spellStart"/>
            <w:r w:rsidRPr="00DB1028">
              <w:rPr>
                <w:rFonts w:asciiTheme="minorHAnsi" w:hAnsiTheme="minorHAnsi" w:cstheme="minorHAnsi"/>
                <w:sz w:val="20"/>
                <w:szCs w:val="20"/>
              </w:rPr>
              <w:t>Kymriah</w:t>
            </w:r>
            <w:proofErr w:type="spellEnd"/>
            <w:r w:rsidRPr="00DB1028">
              <w:rPr>
                <w:rFonts w:asciiTheme="minorHAnsi" w:hAnsiTheme="minorHAnsi" w:cstheme="minorHAnsi"/>
                <w:sz w:val="20"/>
                <w:szCs w:val="20"/>
              </w:rPr>
              <w:t xml:space="preserve">. Le citopenie di Grado 3 e 4 non risolte entro il giorno 28 dopo infusione di </w:t>
            </w:r>
            <w:proofErr w:type="spellStart"/>
            <w:r w:rsidRPr="00DB1028">
              <w:rPr>
                <w:rFonts w:asciiTheme="minorHAnsi" w:hAnsiTheme="minorHAnsi" w:cstheme="minorHAnsi"/>
                <w:sz w:val="20"/>
                <w:szCs w:val="20"/>
              </w:rPr>
              <w:t>Kymriah</w:t>
            </w:r>
            <w:proofErr w:type="spellEnd"/>
            <w:r w:rsidRPr="00DB1028">
              <w:rPr>
                <w:rFonts w:asciiTheme="minorHAnsi" w:hAnsiTheme="minorHAnsi" w:cstheme="minorHAnsi"/>
                <w:sz w:val="20"/>
                <w:szCs w:val="20"/>
              </w:rPr>
              <w:t xml:space="preserve"> sulla base di risultati di laboratorio includevano riduzione della conta dei globuli bianchi (</w:t>
            </w:r>
            <w:r w:rsidRPr="00286630">
              <w:rPr>
                <w:rFonts w:asciiTheme="minorHAnsi" w:hAnsiTheme="minorHAnsi" w:cstheme="minorHAnsi"/>
                <w:b/>
                <w:bCs/>
                <w:sz w:val="20"/>
                <w:szCs w:val="20"/>
              </w:rPr>
              <w:t>50%</w:t>
            </w:r>
            <w:r w:rsidRPr="00DB1028">
              <w:rPr>
                <w:rFonts w:asciiTheme="minorHAnsi" w:hAnsiTheme="minorHAnsi" w:cstheme="minorHAnsi"/>
                <w:sz w:val="20"/>
                <w:szCs w:val="20"/>
              </w:rPr>
              <w:t>), dei neutrofili (</w:t>
            </w:r>
            <w:r w:rsidRPr="00286630">
              <w:rPr>
                <w:rFonts w:asciiTheme="minorHAnsi" w:hAnsiTheme="minorHAnsi" w:cstheme="minorHAnsi"/>
                <w:b/>
                <w:bCs/>
                <w:sz w:val="20"/>
                <w:szCs w:val="20"/>
              </w:rPr>
              <w:t>56%</w:t>
            </w:r>
            <w:r w:rsidRPr="00DB1028">
              <w:rPr>
                <w:rFonts w:asciiTheme="minorHAnsi" w:hAnsiTheme="minorHAnsi" w:cstheme="minorHAnsi"/>
                <w:sz w:val="20"/>
                <w:szCs w:val="20"/>
              </w:rPr>
              <w:t>), dei linfociti (43%), dei trombociti</w:t>
            </w:r>
            <w:r w:rsidR="00286630">
              <w:rPr>
                <w:rFonts w:asciiTheme="minorHAnsi" w:hAnsiTheme="minorHAnsi" w:cstheme="minorHAnsi"/>
                <w:sz w:val="20"/>
                <w:szCs w:val="20"/>
              </w:rPr>
              <w:t xml:space="preserve"> </w:t>
            </w:r>
            <w:r w:rsidRPr="00DB1028">
              <w:rPr>
                <w:rFonts w:asciiTheme="minorHAnsi" w:hAnsiTheme="minorHAnsi" w:cstheme="minorHAnsi"/>
                <w:sz w:val="20"/>
                <w:szCs w:val="20"/>
              </w:rPr>
              <w:t>(</w:t>
            </w:r>
            <w:r w:rsidRPr="00286630">
              <w:rPr>
                <w:rFonts w:asciiTheme="minorHAnsi" w:hAnsiTheme="minorHAnsi" w:cstheme="minorHAnsi"/>
                <w:b/>
                <w:bCs/>
                <w:sz w:val="20"/>
                <w:szCs w:val="20"/>
              </w:rPr>
              <w:t>32%</w:t>
            </w:r>
            <w:r w:rsidRPr="00DB1028">
              <w:rPr>
                <w:rFonts w:asciiTheme="minorHAnsi" w:hAnsiTheme="minorHAnsi" w:cstheme="minorHAnsi"/>
                <w:sz w:val="20"/>
                <w:szCs w:val="20"/>
              </w:rPr>
              <w:t xml:space="preserve">) e riduzione dell’emoglobina </w:t>
            </w:r>
            <w:r w:rsidRPr="00286630">
              <w:rPr>
                <w:rFonts w:asciiTheme="minorHAnsi" w:hAnsiTheme="minorHAnsi" w:cstheme="minorHAnsi"/>
                <w:b/>
                <w:bCs/>
                <w:sz w:val="20"/>
                <w:szCs w:val="20"/>
              </w:rPr>
              <w:t>(11%).</w:t>
            </w:r>
            <w:r w:rsidRPr="00DB1028">
              <w:rPr>
                <w:rFonts w:asciiTheme="minorHAnsi" w:hAnsiTheme="minorHAnsi" w:cstheme="minorHAnsi"/>
                <w:sz w:val="20"/>
                <w:szCs w:val="20"/>
              </w:rPr>
              <w:t xml:space="preserve"> </w:t>
            </w:r>
          </w:p>
          <w:p w14:paraId="7B34C49D" w14:textId="77777777" w:rsidR="00893BF4" w:rsidRPr="00DB1028" w:rsidRDefault="001C4E46" w:rsidP="001C4E46">
            <w:pPr>
              <w:pStyle w:val="Default"/>
              <w:rPr>
                <w:rFonts w:asciiTheme="minorHAnsi" w:hAnsiTheme="minorHAnsi" w:cstheme="minorHAnsi"/>
                <w:sz w:val="20"/>
                <w:szCs w:val="20"/>
              </w:rPr>
            </w:pPr>
            <w:r w:rsidRPr="00DB1028">
              <w:rPr>
                <w:rFonts w:asciiTheme="minorHAnsi" w:hAnsiTheme="minorHAnsi" w:cstheme="minorHAnsi"/>
                <w:sz w:val="20"/>
                <w:szCs w:val="20"/>
              </w:rPr>
              <w:t xml:space="preserve">In tutti i pazienti adulti con DLBCL sono state riportate citopenie di Grado 3 e 4 qualche tempo dopo l’infusione di </w:t>
            </w:r>
            <w:proofErr w:type="spellStart"/>
            <w:r w:rsidRPr="00DB1028">
              <w:rPr>
                <w:rFonts w:asciiTheme="minorHAnsi" w:hAnsiTheme="minorHAnsi" w:cstheme="minorHAnsi"/>
                <w:sz w:val="20"/>
                <w:szCs w:val="20"/>
              </w:rPr>
              <w:t>Kymriah</w:t>
            </w:r>
            <w:proofErr w:type="spellEnd"/>
            <w:r w:rsidRPr="00DB1028">
              <w:rPr>
                <w:rFonts w:asciiTheme="minorHAnsi" w:hAnsiTheme="minorHAnsi" w:cstheme="minorHAnsi"/>
                <w:sz w:val="20"/>
                <w:szCs w:val="20"/>
              </w:rPr>
              <w:t>. Le citopenie di Grado 3 e 4 non risolte entro il giorno 28 sulla base di risultati di laboratorio includevano riduzione della conta dei trombociti (39%), dei linfociti (29%), dei neutrofili (25%), e dei globuli bianchi (21%) e riduzione dell’emoglobina (14%).</w:t>
            </w:r>
          </w:p>
          <w:p w14:paraId="67470328" w14:textId="3267B59E" w:rsidR="001C4E46" w:rsidRPr="00DB1028" w:rsidRDefault="001C4E46" w:rsidP="001C4E46">
            <w:pPr>
              <w:pStyle w:val="Default"/>
              <w:rPr>
                <w:rFonts w:asciiTheme="minorHAnsi" w:hAnsiTheme="minorHAnsi" w:cstheme="minorHAnsi"/>
                <w:i/>
                <w:iCs/>
                <w:sz w:val="20"/>
                <w:szCs w:val="20"/>
              </w:rPr>
            </w:pPr>
            <w:r w:rsidRPr="00DB1028">
              <w:rPr>
                <w:rFonts w:asciiTheme="minorHAnsi" w:hAnsiTheme="minorHAnsi" w:cstheme="minorHAnsi"/>
                <w:sz w:val="20"/>
                <w:szCs w:val="20"/>
              </w:rPr>
              <w:t xml:space="preserve">Il 99% dei pazienti adulti con LF ha avuto citopenie di Grado 3 e 4 in qualsiasi momento dopo l’infusione di </w:t>
            </w:r>
            <w:proofErr w:type="spellStart"/>
            <w:r w:rsidRPr="00DB1028">
              <w:rPr>
                <w:rFonts w:asciiTheme="minorHAnsi" w:hAnsiTheme="minorHAnsi" w:cstheme="minorHAnsi"/>
                <w:sz w:val="20"/>
                <w:szCs w:val="20"/>
              </w:rPr>
              <w:t>Kymriah</w:t>
            </w:r>
            <w:proofErr w:type="spellEnd"/>
            <w:r w:rsidRPr="00DB1028">
              <w:rPr>
                <w:rFonts w:asciiTheme="minorHAnsi" w:hAnsiTheme="minorHAnsi" w:cstheme="minorHAnsi"/>
                <w:sz w:val="20"/>
                <w:szCs w:val="20"/>
              </w:rPr>
              <w:t xml:space="preserve">. Le citopenie di Grado 3 e 4 non risolte entro il giorno 28 dopo l’infusione di </w:t>
            </w:r>
            <w:proofErr w:type="spellStart"/>
            <w:r w:rsidRPr="00DB1028">
              <w:rPr>
                <w:rFonts w:asciiTheme="minorHAnsi" w:hAnsiTheme="minorHAnsi" w:cstheme="minorHAnsi"/>
                <w:sz w:val="20"/>
                <w:szCs w:val="20"/>
              </w:rPr>
              <w:t>Kymriah</w:t>
            </w:r>
            <w:proofErr w:type="spellEnd"/>
            <w:r w:rsidRPr="00DB1028">
              <w:rPr>
                <w:rFonts w:asciiTheme="minorHAnsi" w:hAnsiTheme="minorHAnsi" w:cstheme="minorHAnsi"/>
                <w:sz w:val="20"/>
                <w:szCs w:val="20"/>
              </w:rPr>
              <w:t xml:space="preserve"> sulla base di risultati di laboratorio includevano una riduzione della conta dei linfociti (23%), dei trombociti (17%), dei neutrofili (16%), dei globuli bianchi (13%) e riduzione dell’emoglobina (3%).</w:t>
            </w:r>
          </w:p>
        </w:tc>
      </w:tr>
      <w:tr w:rsidR="00123CE0" w:rsidRPr="00B42B2B" w14:paraId="2A04D141" w14:textId="77777777" w:rsidTr="00E04950">
        <w:tc>
          <w:tcPr>
            <w:tcW w:w="6946" w:type="dxa"/>
          </w:tcPr>
          <w:p w14:paraId="286F3926" w14:textId="77777777" w:rsidR="0000106A" w:rsidRPr="00DB1028" w:rsidRDefault="0000106A" w:rsidP="0000106A">
            <w:pPr>
              <w:autoSpaceDE w:val="0"/>
              <w:autoSpaceDN w:val="0"/>
              <w:adjustRightInd w:val="0"/>
              <w:rPr>
                <w:rFonts w:asciiTheme="minorHAnsi" w:hAnsiTheme="minorHAnsi" w:cstheme="minorHAnsi"/>
                <w:i/>
                <w:iCs/>
                <w:lang w:val="it-IT"/>
              </w:rPr>
            </w:pPr>
            <w:r w:rsidRPr="00DB1028">
              <w:rPr>
                <w:rFonts w:asciiTheme="minorHAnsi" w:hAnsiTheme="minorHAnsi" w:cstheme="minorHAnsi"/>
                <w:i/>
                <w:iCs/>
                <w:lang w:val="it-IT"/>
              </w:rPr>
              <w:t>Reazioni avverse neurologiche</w:t>
            </w:r>
          </w:p>
          <w:p w14:paraId="04013AC1" w14:textId="04E4FDB8" w:rsidR="0000106A" w:rsidRPr="00DB1028" w:rsidRDefault="0000106A" w:rsidP="0000106A">
            <w:pPr>
              <w:autoSpaceDE w:val="0"/>
              <w:autoSpaceDN w:val="0"/>
              <w:adjustRightInd w:val="0"/>
              <w:rPr>
                <w:rFonts w:asciiTheme="minorHAnsi" w:hAnsiTheme="minorHAnsi" w:cstheme="minorHAnsi"/>
                <w:lang w:val="it-IT"/>
              </w:rPr>
            </w:pPr>
            <w:r w:rsidRPr="00DB1028">
              <w:rPr>
                <w:rFonts w:asciiTheme="minorHAnsi" w:hAnsiTheme="minorHAnsi" w:cstheme="minorHAnsi"/>
                <w:lang w:val="it-IT"/>
              </w:rPr>
              <w:t xml:space="preserve">La maggior parte degli eventi neurotossici si sono verificati nelle </w:t>
            </w:r>
            <w:proofErr w:type="gramStart"/>
            <w:r w:rsidRPr="00DB1028">
              <w:rPr>
                <w:rFonts w:asciiTheme="minorHAnsi" w:hAnsiTheme="minorHAnsi" w:cstheme="minorHAnsi"/>
                <w:lang w:val="it-IT"/>
              </w:rPr>
              <w:t>8</w:t>
            </w:r>
            <w:proofErr w:type="gramEnd"/>
            <w:r w:rsidRPr="00DB1028">
              <w:rPr>
                <w:rFonts w:asciiTheme="minorHAnsi" w:hAnsiTheme="minorHAnsi" w:cstheme="minorHAnsi"/>
                <w:lang w:val="it-IT"/>
              </w:rPr>
              <w:t xml:space="preserve"> settimane successive al</w:t>
            </w:r>
            <w:r w:rsidRPr="00DB1028">
              <w:rPr>
                <w:rFonts w:asciiTheme="minorHAnsi" w:eastAsia="TimesNewRomanPSMT" w:hAnsiTheme="minorHAnsi" w:cstheme="minorHAnsi"/>
                <w:lang w:val="it-IT"/>
              </w:rPr>
              <w:t>l’infusione</w:t>
            </w:r>
            <w:r w:rsidR="00E25ED5">
              <w:rPr>
                <w:rFonts w:asciiTheme="minorHAnsi" w:eastAsia="TimesNewRomanPSMT" w:hAnsiTheme="minorHAnsi" w:cstheme="minorHAnsi"/>
                <w:lang w:val="it-IT"/>
              </w:rPr>
              <w:t xml:space="preserve"> </w:t>
            </w:r>
            <w:r w:rsidRPr="00DB1028">
              <w:rPr>
                <w:rFonts w:asciiTheme="minorHAnsi" w:hAnsiTheme="minorHAnsi" w:cstheme="minorHAnsi"/>
                <w:lang w:val="it-IT"/>
              </w:rPr>
              <w:t>e sono stati transitori.</w:t>
            </w:r>
          </w:p>
          <w:p w14:paraId="584A0D6E" w14:textId="77777777" w:rsidR="00893BF4" w:rsidRDefault="00593F64" w:rsidP="00E25ED5">
            <w:pPr>
              <w:autoSpaceDE w:val="0"/>
              <w:autoSpaceDN w:val="0"/>
              <w:adjustRightInd w:val="0"/>
              <w:rPr>
                <w:rFonts w:asciiTheme="minorHAnsi" w:eastAsia="TimesNewRomanPSMT" w:hAnsiTheme="minorHAnsi" w:cstheme="minorHAnsi"/>
                <w:lang w:val="it-IT"/>
              </w:rPr>
            </w:pPr>
            <w:r w:rsidRPr="00DB1028">
              <w:rPr>
                <w:rFonts w:asciiTheme="minorHAnsi" w:hAnsiTheme="minorHAnsi" w:cstheme="minorHAnsi"/>
                <w:lang w:val="it-IT"/>
              </w:rPr>
              <w:t>Nei pazienti pediatrici e giovani adulti con LLA a cellule B, manifestazioni di encefalopatia e/o</w:t>
            </w:r>
            <w:r w:rsidR="00E25ED5">
              <w:rPr>
                <w:rFonts w:asciiTheme="minorHAnsi" w:hAnsiTheme="minorHAnsi" w:cstheme="minorHAnsi"/>
                <w:lang w:val="it-IT"/>
              </w:rPr>
              <w:t xml:space="preserve"> </w:t>
            </w:r>
            <w:r w:rsidRPr="00DB1028">
              <w:rPr>
                <w:rFonts w:asciiTheme="minorHAnsi" w:hAnsiTheme="minorHAnsi" w:cstheme="minorHAnsi"/>
                <w:lang w:val="it-IT"/>
              </w:rPr>
              <w:t xml:space="preserve">delirium si sono verificate nel </w:t>
            </w:r>
            <w:r w:rsidRPr="00000D33">
              <w:rPr>
                <w:rFonts w:asciiTheme="minorHAnsi" w:hAnsiTheme="minorHAnsi" w:cstheme="minorHAnsi"/>
                <w:highlight w:val="yellow"/>
                <w:lang w:val="it-IT"/>
              </w:rPr>
              <w:t>39%</w:t>
            </w:r>
            <w:r w:rsidRPr="00DB1028">
              <w:rPr>
                <w:rFonts w:asciiTheme="minorHAnsi" w:hAnsiTheme="minorHAnsi" w:cstheme="minorHAnsi"/>
                <w:lang w:val="it-IT"/>
              </w:rPr>
              <w:t xml:space="preserve"> dei pazienti (il </w:t>
            </w:r>
            <w:r w:rsidRPr="00000D33">
              <w:rPr>
                <w:rFonts w:asciiTheme="minorHAnsi" w:hAnsiTheme="minorHAnsi" w:cstheme="minorHAnsi"/>
                <w:highlight w:val="yellow"/>
                <w:lang w:val="it-IT"/>
              </w:rPr>
              <w:t>13%</w:t>
            </w:r>
            <w:r w:rsidRPr="00DB1028">
              <w:rPr>
                <w:rFonts w:asciiTheme="minorHAnsi" w:hAnsiTheme="minorHAnsi" w:cstheme="minorHAnsi"/>
                <w:lang w:val="it-IT"/>
              </w:rPr>
              <w:t xml:space="preserve"> erano di Grado 3 o 4) nelle 8 settimane</w:t>
            </w:r>
            <w:r w:rsidR="00E25ED5">
              <w:rPr>
                <w:rFonts w:asciiTheme="minorHAnsi" w:hAnsiTheme="minorHAnsi" w:cstheme="minorHAnsi"/>
                <w:lang w:val="it-IT"/>
              </w:rPr>
              <w:t xml:space="preserve"> </w:t>
            </w:r>
            <w:r w:rsidRPr="00DB1028">
              <w:rPr>
                <w:rFonts w:asciiTheme="minorHAnsi" w:hAnsiTheme="minorHAnsi" w:cstheme="minorHAnsi"/>
                <w:lang w:val="it-IT"/>
              </w:rPr>
              <w:t>successive al</w:t>
            </w:r>
            <w:r w:rsidRPr="00DB1028">
              <w:rPr>
                <w:rFonts w:asciiTheme="minorHAnsi" w:eastAsia="TimesNewRomanPSMT" w:hAnsiTheme="minorHAnsi" w:cstheme="minorHAnsi"/>
                <w:lang w:val="it-IT"/>
              </w:rPr>
              <w:t xml:space="preserve">l’infusione di </w:t>
            </w:r>
            <w:proofErr w:type="spellStart"/>
            <w:r w:rsidRPr="00DB1028">
              <w:rPr>
                <w:rFonts w:asciiTheme="minorHAnsi" w:eastAsia="TimesNewRomanPSMT" w:hAnsiTheme="minorHAnsi" w:cstheme="minorHAnsi"/>
                <w:lang w:val="it-IT"/>
              </w:rPr>
              <w:t>Kymriah</w:t>
            </w:r>
            <w:proofErr w:type="spellEnd"/>
            <w:r w:rsidRPr="00DB1028">
              <w:rPr>
                <w:rFonts w:asciiTheme="minorHAnsi" w:eastAsia="TimesNewRomanPSMT" w:hAnsiTheme="minorHAnsi" w:cstheme="minorHAnsi"/>
                <w:lang w:val="it-IT"/>
              </w:rPr>
              <w:t xml:space="preserve">. Nei pazienti </w:t>
            </w:r>
            <w:r w:rsidRPr="00DB1028">
              <w:rPr>
                <w:rFonts w:asciiTheme="minorHAnsi" w:hAnsiTheme="minorHAnsi" w:cstheme="minorHAnsi"/>
                <w:lang w:val="it-IT"/>
              </w:rPr>
              <w:t>adulti con DLBCL, manifestazioni di encefalopatia</w:t>
            </w:r>
            <w:r w:rsidR="001025B4" w:rsidRPr="00DB1028">
              <w:rPr>
                <w:rFonts w:asciiTheme="minorHAnsi" w:hAnsiTheme="minorHAnsi" w:cstheme="minorHAnsi"/>
                <w:lang w:val="it-IT"/>
              </w:rPr>
              <w:t xml:space="preserve"> </w:t>
            </w:r>
            <w:r w:rsidRPr="00DB1028">
              <w:rPr>
                <w:rFonts w:asciiTheme="minorHAnsi" w:hAnsiTheme="minorHAnsi" w:cstheme="minorHAnsi"/>
                <w:lang w:val="it-IT"/>
              </w:rPr>
              <w:t>e/o delirium si sono verificate nel 20% dei pazienti (</w:t>
            </w:r>
            <w:r w:rsidRPr="00DB1028">
              <w:rPr>
                <w:rFonts w:asciiTheme="minorHAnsi" w:eastAsia="TimesNewRomanPSMT" w:hAnsiTheme="minorHAnsi" w:cstheme="minorHAnsi"/>
                <w:lang w:val="it-IT"/>
              </w:rPr>
              <w:t>l’</w:t>
            </w:r>
            <w:r w:rsidRPr="00DB1028">
              <w:rPr>
                <w:rFonts w:asciiTheme="minorHAnsi" w:hAnsiTheme="minorHAnsi" w:cstheme="minorHAnsi"/>
                <w:lang w:val="it-IT"/>
              </w:rPr>
              <w:t>11% erano di Grado 3 o 4) nelle 8 settimane</w:t>
            </w:r>
            <w:r w:rsidR="001025B4" w:rsidRPr="00DB1028">
              <w:rPr>
                <w:rFonts w:asciiTheme="minorHAnsi" w:hAnsiTheme="minorHAnsi" w:cstheme="minorHAnsi"/>
                <w:lang w:val="it-IT"/>
              </w:rPr>
              <w:t xml:space="preserve"> </w:t>
            </w:r>
            <w:r w:rsidRPr="00DB1028">
              <w:rPr>
                <w:rFonts w:asciiTheme="minorHAnsi" w:hAnsiTheme="minorHAnsi" w:cstheme="minorHAnsi"/>
                <w:lang w:val="it-IT"/>
              </w:rPr>
              <w:t>successive al</w:t>
            </w:r>
            <w:r w:rsidRPr="00DB1028">
              <w:rPr>
                <w:rFonts w:asciiTheme="minorHAnsi" w:eastAsia="TimesNewRomanPSMT" w:hAnsiTheme="minorHAnsi" w:cstheme="minorHAnsi"/>
                <w:lang w:val="it-IT"/>
              </w:rPr>
              <w:t xml:space="preserve">l’infusione di </w:t>
            </w:r>
            <w:proofErr w:type="spellStart"/>
            <w:r w:rsidRPr="00DB1028">
              <w:rPr>
                <w:rFonts w:asciiTheme="minorHAnsi" w:eastAsia="TimesNewRomanPSMT" w:hAnsiTheme="minorHAnsi" w:cstheme="minorHAnsi"/>
                <w:lang w:val="it-IT"/>
              </w:rPr>
              <w:t>Kymriah</w:t>
            </w:r>
            <w:proofErr w:type="spellEnd"/>
            <w:r w:rsidRPr="00DB1028">
              <w:rPr>
                <w:rFonts w:asciiTheme="minorHAnsi" w:eastAsia="TimesNewRomanPSMT" w:hAnsiTheme="minorHAnsi" w:cstheme="minorHAnsi"/>
                <w:lang w:val="it-IT"/>
              </w:rPr>
              <w:t xml:space="preserve">. </w:t>
            </w:r>
            <w:r w:rsidRPr="00DB1028">
              <w:rPr>
                <w:rFonts w:asciiTheme="minorHAnsi" w:hAnsiTheme="minorHAnsi" w:cstheme="minorHAnsi"/>
                <w:lang w:val="it-IT"/>
              </w:rPr>
              <w:t>Nei pazienti adulti con LF, queste si sono verificate nel 9% dei</w:t>
            </w:r>
            <w:r w:rsidR="00E25ED5">
              <w:rPr>
                <w:rFonts w:asciiTheme="minorHAnsi" w:hAnsiTheme="minorHAnsi" w:cstheme="minorHAnsi"/>
                <w:lang w:val="it-IT"/>
              </w:rPr>
              <w:t xml:space="preserve"> </w:t>
            </w:r>
            <w:r w:rsidRPr="00DB1028">
              <w:rPr>
                <w:rFonts w:asciiTheme="minorHAnsi" w:eastAsia="TimesNewRomanPSMT" w:hAnsiTheme="minorHAnsi" w:cstheme="minorHAnsi"/>
                <w:lang w:val="it-IT"/>
              </w:rPr>
              <w:t xml:space="preserve">pazienti (l’1% di Grado </w:t>
            </w:r>
            <w:r w:rsidRPr="00DB1028">
              <w:rPr>
                <w:rFonts w:asciiTheme="minorHAnsi" w:hAnsiTheme="minorHAnsi" w:cstheme="minorHAnsi"/>
                <w:lang w:val="it-IT"/>
              </w:rPr>
              <w:t xml:space="preserve">3 o 4) nelle 8 </w:t>
            </w:r>
            <w:r w:rsidRPr="00DB1028">
              <w:rPr>
                <w:rFonts w:asciiTheme="minorHAnsi" w:eastAsia="TimesNewRomanPSMT" w:hAnsiTheme="minorHAnsi" w:cstheme="minorHAnsi"/>
                <w:lang w:val="it-IT"/>
              </w:rPr>
              <w:t xml:space="preserve">settimane successive all’infusione di </w:t>
            </w:r>
            <w:proofErr w:type="spellStart"/>
            <w:r w:rsidRPr="00DB1028">
              <w:rPr>
                <w:rFonts w:asciiTheme="minorHAnsi" w:eastAsia="TimesNewRomanPSMT" w:hAnsiTheme="minorHAnsi" w:cstheme="minorHAnsi"/>
                <w:lang w:val="it-IT"/>
              </w:rPr>
              <w:lastRenderedPageBreak/>
              <w:t>Kymriah</w:t>
            </w:r>
            <w:proofErr w:type="spellEnd"/>
            <w:r w:rsidRPr="00DB1028">
              <w:rPr>
                <w:rFonts w:asciiTheme="minorHAnsi" w:eastAsia="TimesNewRomanPSMT" w:hAnsiTheme="minorHAnsi" w:cstheme="minorHAnsi"/>
                <w:lang w:val="it-IT"/>
              </w:rPr>
              <w:t xml:space="preserve">. </w:t>
            </w:r>
            <w:r w:rsidRPr="00DB1028">
              <w:rPr>
                <w:rFonts w:asciiTheme="minorHAnsi" w:hAnsiTheme="minorHAnsi" w:cstheme="minorHAnsi"/>
                <w:lang w:val="it-IT"/>
              </w:rPr>
              <w:t>Nei pazienti</w:t>
            </w:r>
            <w:r w:rsidR="001025B4" w:rsidRPr="00DB1028">
              <w:rPr>
                <w:rFonts w:asciiTheme="minorHAnsi" w:hAnsiTheme="minorHAnsi" w:cstheme="minorHAnsi"/>
                <w:lang w:val="it-IT"/>
              </w:rPr>
              <w:t xml:space="preserve"> </w:t>
            </w:r>
            <w:r w:rsidRPr="00DB1028">
              <w:rPr>
                <w:rFonts w:asciiTheme="minorHAnsi" w:hAnsiTheme="minorHAnsi" w:cstheme="minorHAnsi"/>
                <w:lang w:val="it-IT"/>
              </w:rPr>
              <w:t>adulti con LF, tra gli eventi neurotossici, la sindrome di neurotossicità associata a cellule effettrici</w:t>
            </w:r>
            <w:r w:rsidR="001025B4" w:rsidRPr="00DB1028">
              <w:rPr>
                <w:rFonts w:asciiTheme="minorHAnsi" w:hAnsiTheme="minorHAnsi" w:cstheme="minorHAnsi"/>
                <w:lang w:val="it-IT"/>
              </w:rPr>
              <w:t xml:space="preserve"> </w:t>
            </w:r>
            <w:r w:rsidRPr="00DB1028">
              <w:rPr>
                <w:rFonts w:asciiTheme="minorHAnsi" w:eastAsia="TimesNewRomanPSMT" w:hAnsiTheme="minorHAnsi" w:cstheme="minorHAnsi"/>
                <w:lang w:val="it-IT"/>
              </w:rPr>
              <w:t xml:space="preserve">immunitarie (ICANS) si è verificata nel 4% dei pazienti (l’1% di Grado </w:t>
            </w:r>
            <w:r w:rsidRPr="00DB1028">
              <w:rPr>
                <w:rFonts w:asciiTheme="minorHAnsi" w:hAnsiTheme="minorHAnsi" w:cstheme="minorHAnsi"/>
                <w:lang w:val="it-IT"/>
              </w:rPr>
              <w:t>3 o 4), tutti nelle 8 settimane</w:t>
            </w:r>
            <w:r w:rsidR="001025B4" w:rsidRPr="00DB1028">
              <w:rPr>
                <w:rFonts w:asciiTheme="minorHAnsi" w:hAnsiTheme="minorHAnsi" w:cstheme="minorHAnsi"/>
                <w:lang w:val="it-IT"/>
              </w:rPr>
              <w:t xml:space="preserve"> </w:t>
            </w:r>
            <w:r w:rsidRPr="00DB1028">
              <w:rPr>
                <w:rFonts w:asciiTheme="minorHAnsi" w:eastAsia="TimesNewRomanPSMT" w:hAnsiTheme="minorHAnsi" w:cstheme="minorHAnsi"/>
                <w:lang w:val="it-IT"/>
              </w:rPr>
              <w:t xml:space="preserve">successive all’infusione di </w:t>
            </w:r>
            <w:proofErr w:type="spellStart"/>
            <w:r w:rsidRPr="00DB1028">
              <w:rPr>
                <w:rFonts w:asciiTheme="minorHAnsi" w:eastAsia="TimesNewRomanPSMT" w:hAnsiTheme="minorHAnsi" w:cstheme="minorHAnsi"/>
                <w:lang w:val="it-IT"/>
              </w:rPr>
              <w:t>Kymriah</w:t>
            </w:r>
            <w:proofErr w:type="spellEnd"/>
            <w:r w:rsidRPr="00DB1028">
              <w:rPr>
                <w:rFonts w:asciiTheme="minorHAnsi" w:eastAsia="TimesNewRomanPSMT" w:hAnsiTheme="minorHAnsi" w:cstheme="minorHAnsi"/>
                <w:lang w:val="it-IT"/>
              </w:rPr>
              <w:t>.</w:t>
            </w:r>
          </w:p>
          <w:p w14:paraId="3C96BB9A" w14:textId="2C767A99" w:rsidR="00BE04C8" w:rsidRPr="00DB1028" w:rsidRDefault="00BE04C8" w:rsidP="00E25ED5">
            <w:pPr>
              <w:autoSpaceDE w:val="0"/>
              <w:autoSpaceDN w:val="0"/>
              <w:adjustRightInd w:val="0"/>
              <w:rPr>
                <w:rFonts w:asciiTheme="minorHAnsi" w:hAnsiTheme="minorHAnsi" w:cstheme="minorHAnsi"/>
                <w:i/>
                <w:iCs/>
                <w:lang w:val="it-IT"/>
              </w:rPr>
            </w:pPr>
          </w:p>
        </w:tc>
        <w:tc>
          <w:tcPr>
            <w:tcW w:w="7230" w:type="dxa"/>
          </w:tcPr>
          <w:p w14:paraId="7F8A2383" w14:textId="77777777" w:rsidR="0000106A" w:rsidRPr="00DB1028" w:rsidRDefault="0000106A" w:rsidP="0000106A">
            <w:pPr>
              <w:pStyle w:val="Default"/>
              <w:rPr>
                <w:rFonts w:asciiTheme="minorHAnsi" w:hAnsiTheme="minorHAnsi" w:cstheme="minorHAnsi"/>
                <w:sz w:val="20"/>
                <w:szCs w:val="20"/>
              </w:rPr>
            </w:pPr>
            <w:r w:rsidRPr="00DB1028">
              <w:rPr>
                <w:rFonts w:asciiTheme="minorHAnsi" w:hAnsiTheme="minorHAnsi" w:cstheme="minorHAnsi"/>
                <w:i/>
                <w:iCs/>
                <w:sz w:val="20"/>
                <w:szCs w:val="20"/>
              </w:rPr>
              <w:lastRenderedPageBreak/>
              <w:t xml:space="preserve">Reazioni avverse neurologiche </w:t>
            </w:r>
          </w:p>
          <w:p w14:paraId="71814515" w14:textId="77777777" w:rsidR="0000106A" w:rsidRPr="00DB1028" w:rsidRDefault="0000106A" w:rsidP="0000106A">
            <w:pPr>
              <w:pStyle w:val="Default"/>
              <w:rPr>
                <w:rFonts w:asciiTheme="minorHAnsi" w:hAnsiTheme="minorHAnsi" w:cstheme="minorHAnsi"/>
                <w:sz w:val="20"/>
                <w:szCs w:val="20"/>
              </w:rPr>
            </w:pPr>
            <w:r w:rsidRPr="00DB1028">
              <w:rPr>
                <w:rFonts w:asciiTheme="minorHAnsi" w:hAnsiTheme="minorHAnsi" w:cstheme="minorHAnsi"/>
                <w:sz w:val="20"/>
                <w:szCs w:val="20"/>
              </w:rPr>
              <w:t xml:space="preserve">La maggior parte degli eventi neurotossici si sono verificati nelle </w:t>
            </w:r>
            <w:proofErr w:type="gramStart"/>
            <w:r w:rsidRPr="00DB1028">
              <w:rPr>
                <w:rFonts w:asciiTheme="minorHAnsi" w:hAnsiTheme="minorHAnsi" w:cstheme="minorHAnsi"/>
                <w:sz w:val="20"/>
                <w:szCs w:val="20"/>
              </w:rPr>
              <w:t>8</w:t>
            </w:r>
            <w:proofErr w:type="gramEnd"/>
            <w:r w:rsidRPr="00DB1028">
              <w:rPr>
                <w:rFonts w:asciiTheme="minorHAnsi" w:hAnsiTheme="minorHAnsi" w:cstheme="minorHAnsi"/>
                <w:sz w:val="20"/>
                <w:szCs w:val="20"/>
              </w:rPr>
              <w:t xml:space="preserve"> settimane successive all’infusione e sono stati transitori. </w:t>
            </w:r>
          </w:p>
          <w:p w14:paraId="7DA7D0DE" w14:textId="0744376F" w:rsidR="00893BF4" w:rsidRPr="00DB1028" w:rsidRDefault="0000106A" w:rsidP="0000106A">
            <w:pPr>
              <w:pStyle w:val="Default"/>
              <w:rPr>
                <w:rFonts w:asciiTheme="minorHAnsi" w:hAnsiTheme="minorHAnsi" w:cstheme="minorHAnsi"/>
                <w:i/>
                <w:iCs/>
                <w:sz w:val="20"/>
                <w:szCs w:val="20"/>
              </w:rPr>
            </w:pPr>
            <w:r w:rsidRPr="00DB1028">
              <w:rPr>
                <w:rFonts w:asciiTheme="minorHAnsi" w:hAnsiTheme="minorHAnsi" w:cstheme="minorHAnsi"/>
                <w:sz w:val="20"/>
                <w:szCs w:val="20"/>
              </w:rPr>
              <w:t xml:space="preserve">Nei pazienti pediatrici e giovani adulti con LLA a cellule B, gravi reazioni avverse neurologiche, comprese manifestazioni di encefalopatia e/o delirium, si sono verificate nel </w:t>
            </w:r>
            <w:r w:rsidRPr="007C54AE">
              <w:rPr>
                <w:rFonts w:asciiTheme="minorHAnsi" w:hAnsiTheme="minorHAnsi" w:cstheme="minorHAnsi"/>
                <w:b/>
                <w:bCs/>
                <w:sz w:val="20"/>
                <w:szCs w:val="20"/>
              </w:rPr>
              <w:t>32%</w:t>
            </w:r>
            <w:r w:rsidRPr="00DB1028">
              <w:rPr>
                <w:rFonts w:asciiTheme="minorHAnsi" w:hAnsiTheme="minorHAnsi" w:cstheme="minorHAnsi"/>
                <w:sz w:val="20"/>
                <w:szCs w:val="20"/>
              </w:rPr>
              <w:t xml:space="preserve"> dei pazienti (il </w:t>
            </w:r>
            <w:r w:rsidRPr="007C54AE">
              <w:rPr>
                <w:rFonts w:asciiTheme="minorHAnsi" w:hAnsiTheme="minorHAnsi" w:cstheme="minorHAnsi"/>
                <w:b/>
                <w:bCs/>
                <w:sz w:val="20"/>
                <w:szCs w:val="20"/>
              </w:rPr>
              <w:t>10%</w:t>
            </w:r>
            <w:r w:rsidRPr="00DB1028">
              <w:rPr>
                <w:rFonts w:asciiTheme="minorHAnsi" w:hAnsiTheme="minorHAnsi" w:cstheme="minorHAnsi"/>
                <w:sz w:val="20"/>
                <w:szCs w:val="20"/>
              </w:rPr>
              <w:t xml:space="preserve"> erano di Grado 3 o 4) nelle 8 settimane successive all’infusione di </w:t>
            </w:r>
            <w:proofErr w:type="spellStart"/>
            <w:r w:rsidRPr="00DB1028">
              <w:rPr>
                <w:rFonts w:asciiTheme="minorHAnsi" w:hAnsiTheme="minorHAnsi" w:cstheme="minorHAnsi"/>
                <w:sz w:val="20"/>
                <w:szCs w:val="20"/>
              </w:rPr>
              <w:t>Kymriah</w:t>
            </w:r>
            <w:proofErr w:type="spellEnd"/>
            <w:r w:rsidRPr="00DB1028">
              <w:rPr>
                <w:rFonts w:asciiTheme="minorHAnsi" w:hAnsiTheme="minorHAnsi" w:cstheme="minorHAnsi"/>
                <w:sz w:val="20"/>
                <w:szCs w:val="20"/>
              </w:rPr>
              <w:t xml:space="preserve">. Nei pazienti adulti con DLBCL, manifestazioni di encefalopatia e/o delirium si sono verificate nel 20% dei pazienti (l’11% erano di Grado 3 o 4) nelle 8 settimane successive all’infusione di </w:t>
            </w:r>
            <w:proofErr w:type="spellStart"/>
            <w:r w:rsidRPr="00DB1028">
              <w:rPr>
                <w:rFonts w:asciiTheme="minorHAnsi" w:hAnsiTheme="minorHAnsi" w:cstheme="minorHAnsi"/>
                <w:sz w:val="20"/>
                <w:szCs w:val="20"/>
              </w:rPr>
              <w:t>Kymriah</w:t>
            </w:r>
            <w:proofErr w:type="spellEnd"/>
            <w:r w:rsidRPr="00DB1028">
              <w:rPr>
                <w:rFonts w:asciiTheme="minorHAnsi" w:hAnsiTheme="minorHAnsi" w:cstheme="minorHAnsi"/>
                <w:sz w:val="20"/>
                <w:szCs w:val="20"/>
              </w:rPr>
              <w:t xml:space="preserve">. Nei pazienti adulti con LF, queste si sono verificate nel 9% dei pazienti (l’1% di Grado 3 o 4) nelle 8 </w:t>
            </w:r>
            <w:r w:rsidRPr="00DB1028">
              <w:rPr>
                <w:rFonts w:asciiTheme="minorHAnsi" w:hAnsiTheme="minorHAnsi" w:cstheme="minorHAnsi"/>
                <w:sz w:val="20"/>
                <w:szCs w:val="20"/>
              </w:rPr>
              <w:lastRenderedPageBreak/>
              <w:t xml:space="preserve">settimane successive all’infusione di </w:t>
            </w:r>
            <w:proofErr w:type="spellStart"/>
            <w:r w:rsidRPr="00DB1028">
              <w:rPr>
                <w:rFonts w:asciiTheme="minorHAnsi" w:hAnsiTheme="minorHAnsi" w:cstheme="minorHAnsi"/>
                <w:sz w:val="20"/>
                <w:szCs w:val="20"/>
              </w:rPr>
              <w:t>Kymriah</w:t>
            </w:r>
            <w:proofErr w:type="spellEnd"/>
            <w:r w:rsidRPr="00DB1028">
              <w:rPr>
                <w:rFonts w:asciiTheme="minorHAnsi" w:hAnsiTheme="minorHAnsi" w:cstheme="minorHAnsi"/>
                <w:sz w:val="20"/>
                <w:szCs w:val="20"/>
              </w:rPr>
              <w:t xml:space="preserve">. Nei pazienti adulti con LF, tra gli eventi neurotossici, la sindrome di neurotossicità associata a cellule effettrici immunitarie (ICANS) si è verificata nel 4% dei pazienti (l’1% di Grado 3 o 4), tutti nelle 8 settimane successive all’infusione di </w:t>
            </w:r>
            <w:proofErr w:type="spellStart"/>
            <w:r w:rsidRPr="00DB1028">
              <w:rPr>
                <w:rFonts w:asciiTheme="minorHAnsi" w:hAnsiTheme="minorHAnsi" w:cstheme="minorHAnsi"/>
                <w:sz w:val="20"/>
                <w:szCs w:val="20"/>
              </w:rPr>
              <w:t>Kymriah</w:t>
            </w:r>
            <w:proofErr w:type="spellEnd"/>
            <w:r w:rsidRPr="00DB1028">
              <w:rPr>
                <w:rFonts w:asciiTheme="minorHAnsi" w:hAnsiTheme="minorHAnsi" w:cstheme="minorHAnsi"/>
                <w:sz w:val="20"/>
                <w:szCs w:val="20"/>
              </w:rPr>
              <w:t>.</w:t>
            </w:r>
          </w:p>
        </w:tc>
      </w:tr>
      <w:tr w:rsidR="00123CE0" w:rsidRPr="00B42B2B" w14:paraId="0C7539A6" w14:textId="77777777" w:rsidTr="00E04950">
        <w:tc>
          <w:tcPr>
            <w:tcW w:w="6946" w:type="dxa"/>
          </w:tcPr>
          <w:p w14:paraId="1AB032C5" w14:textId="77777777" w:rsidR="005C759A" w:rsidRPr="00DB1028" w:rsidRDefault="005C759A" w:rsidP="005C759A">
            <w:pPr>
              <w:autoSpaceDE w:val="0"/>
              <w:autoSpaceDN w:val="0"/>
              <w:adjustRightInd w:val="0"/>
              <w:rPr>
                <w:rFonts w:asciiTheme="minorHAnsi" w:hAnsiTheme="minorHAnsi" w:cstheme="minorHAnsi"/>
                <w:i/>
                <w:iCs/>
                <w:lang w:val="it-IT"/>
              </w:rPr>
            </w:pPr>
            <w:proofErr w:type="spellStart"/>
            <w:r w:rsidRPr="00DB1028">
              <w:rPr>
                <w:rFonts w:asciiTheme="minorHAnsi" w:hAnsiTheme="minorHAnsi" w:cstheme="minorHAnsi"/>
                <w:i/>
                <w:iCs/>
                <w:lang w:val="it-IT"/>
              </w:rPr>
              <w:lastRenderedPageBreak/>
              <w:t>Ipogammaglobulinemia</w:t>
            </w:r>
            <w:proofErr w:type="spellEnd"/>
          </w:p>
          <w:p w14:paraId="14F7105A" w14:textId="43484D61" w:rsidR="005C759A" w:rsidRPr="00DB1028" w:rsidRDefault="005C759A" w:rsidP="005C759A">
            <w:pPr>
              <w:autoSpaceDE w:val="0"/>
              <w:autoSpaceDN w:val="0"/>
              <w:adjustRightInd w:val="0"/>
              <w:rPr>
                <w:rFonts w:asciiTheme="minorHAnsi" w:hAnsiTheme="minorHAnsi" w:cstheme="minorHAnsi"/>
                <w:lang w:val="it-IT"/>
              </w:rPr>
            </w:pPr>
            <w:proofErr w:type="spellStart"/>
            <w:r w:rsidRPr="00DB1028">
              <w:rPr>
                <w:rFonts w:asciiTheme="minorHAnsi" w:hAnsiTheme="minorHAnsi" w:cstheme="minorHAnsi"/>
                <w:lang w:val="it-IT"/>
              </w:rPr>
              <w:t>Ipogammaglobulinemia</w:t>
            </w:r>
            <w:proofErr w:type="spellEnd"/>
            <w:r w:rsidRPr="00DB1028">
              <w:rPr>
                <w:rFonts w:asciiTheme="minorHAnsi" w:hAnsiTheme="minorHAnsi" w:cstheme="minorHAnsi"/>
                <w:lang w:val="it-IT"/>
              </w:rPr>
              <w:t xml:space="preserve"> è stata riportata nel </w:t>
            </w:r>
            <w:r w:rsidRPr="003E7D8A">
              <w:rPr>
                <w:rFonts w:asciiTheme="minorHAnsi" w:hAnsiTheme="minorHAnsi" w:cstheme="minorHAnsi"/>
                <w:highlight w:val="yellow"/>
                <w:lang w:val="it-IT"/>
              </w:rPr>
              <w:t>53</w:t>
            </w:r>
            <w:r w:rsidRPr="00DB1028">
              <w:rPr>
                <w:rFonts w:asciiTheme="minorHAnsi" w:hAnsiTheme="minorHAnsi" w:cstheme="minorHAnsi"/>
                <w:lang w:val="it-IT"/>
              </w:rPr>
              <w:t xml:space="preserve">% dei pazienti trattati con </w:t>
            </w:r>
            <w:proofErr w:type="spellStart"/>
            <w:r w:rsidRPr="00DB1028">
              <w:rPr>
                <w:rFonts w:asciiTheme="minorHAnsi" w:hAnsiTheme="minorHAnsi" w:cstheme="minorHAnsi"/>
                <w:lang w:val="it-IT"/>
              </w:rPr>
              <w:t>Kymriah</w:t>
            </w:r>
            <w:proofErr w:type="spellEnd"/>
            <w:r w:rsidRPr="00DB1028">
              <w:rPr>
                <w:rFonts w:asciiTheme="minorHAnsi" w:hAnsiTheme="minorHAnsi" w:cstheme="minorHAnsi"/>
                <w:lang w:val="it-IT"/>
              </w:rPr>
              <w:t xml:space="preserve"> per LLA r/r, nel</w:t>
            </w:r>
            <w:r w:rsidR="003E7D8A">
              <w:rPr>
                <w:rFonts w:asciiTheme="minorHAnsi" w:hAnsiTheme="minorHAnsi" w:cstheme="minorHAnsi"/>
                <w:lang w:val="it-IT"/>
              </w:rPr>
              <w:t xml:space="preserve"> </w:t>
            </w:r>
            <w:r w:rsidRPr="00DB1028">
              <w:rPr>
                <w:rFonts w:asciiTheme="minorHAnsi" w:hAnsiTheme="minorHAnsi" w:cstheme="minorHAnsi"/>
                <w:lang w:val="it-IT"/>
              </w:rPr>
              <w:t>17% dei pazienti con DLBCL r/r e nel 17% dei pazienti con LF r/r.</w:t>
            </w:r>
          </w:p>
          <w:p w14:paraId="0459102B" w14:textId="77777777" w:rsidR="00893BF4" w:rsidRDefault="005C759A" w:rsidP="003E7D8A">
            <w:pPr>
              <w:autoSpaceDE w:val="0"/>
              <w:autoSpaceDN w:val="0"/>
              <w:adjustRightInd w:val="0"/>
              <w:rPr>
                <w:rFonts w:asciiTheme="minorHAnsi" w:hAnsiTheme="minorHAnsi" w:cstheme="minorHAnsi"/>
                <w:lang w:val="it-IT"/>
              </w:rPr>
            </w:pPr>
            <w:r w:rsidRPr="00DB1028">
              <w:rPr>
                <w:rFonts w:asciiTheme="minorHAnsi" w:hAnsiTheme="minorHAnsi" w:cstheme="minorHAnsi"/>
                <w:lang w:val="it-IT"/>
              </w:rPr>
              <w:t xml:space="preserve">Le donne in gravidanza che hanno ricevuto </w:t>
            </w:r>
            <w:proofErr w:type="spellStart"/>
            <w:r w:rsidRPr="00DB1028">
              <w:rPr>
                <w:rFonts w:asciiTheme="minorHAnsi" w:hAnsiTheme="minorHAnsi" w:cstheme="minorHAnsi"/>
                <w:lang w:val="it-IT"/>
              </w:rPr>
              <w:t>Kymriah</w:t>
            </w:r>
            <w:proofErr w:type="spellEnd"/>
            <w:r w:rsidRPr="00DB1028">
              <w:rPr>
                <w:rFonts w:asciiTheme="minorHAnsi" w:hAnsiTheme="minorHAnsi" w:cstheme="minorHAnsi"/>
                <w:lang w:val="it-IT"/>
              </w:rPr>
              <w:t xml:space="preserve"> possono avere </w:t>
            </w:r>
            <w:proofErr w:type="spellStart"/>
            <w:r w:rsidRPr="00DB1028">
              <w:rPr>
                <w:rFonts w:asciiTheme="minorHAnsi" w:hAnsiTheme="minorHAnsi" w:cstheme="minorHAnsi"/>
                <w:lang w:val="it-IT"/>
              </w:rPr>
              <w:t>ipogammaglobulinemia</w:t>
            </w:r>
            <w:proofErr w:type="spellEnd"/>
            <w:r w:rsidRPr="00DB1028">
              <w:rPr>
                <w:rFonts w:asciiTheme="minorHAnsi" w:hAnsiTheme="minorHAnsi" w:cstheme="minorHAnsi"/>
                <w:lang w:val="it-IT"/>
              </w:rPr>
              <w:t>. I livelli di</w:t>
            </w:r>
            <w:r w:rsidR="003E7D8A">
              <w:rPr>
                <w:rFonts w:asciiTheme="minorHAnsi" w:hAnsiTheme="minorHAnsi" w:cstheme="minorHAnsi"/>
                <w:lang w:val="it-IT"/>
              </w:rPr>
              <w:t xml:space="preserve"> </w:t>
            </w:r>
            <w:r w:rsidRPr="00DB1028">
              <w:rPr>
                <w:rFonts w:asciiTheme="minorHAnsi" w:hAnsiTheme="minorHAnsi" w:cstheme="minorHAnsi"/>
                <w:lang w:val="it-IT"/>
              </w:rPr>
              <w:t xml:space="preserve">immunoglobuline devono essere valutati nei neonati di madri trattate con </w:t>
            </w:r>
            <w:proofErr w:type="spellStart"/>
            <w:r w:rsidRPr="00DB1028">
              <w:rPr>
                <w:rFonts w:asciiTheme="minorHAnsi" w:hAnsiTheme="minorHAnsi" w:cstheme="minorHAnsi"/>
                <w:lang w:val="it-IT"/>
              </w:rPr>
              <w:t>Kymriah</w:t>
            </w:r>
            <w:proofErr w:type="spellEnd"/>
          </w:p>
          <w:p w14:paraId="3B711876" w14:textId="2BF22A9A" w:rsidR="00BE04C8" w:rsidRPr="00DB1028" w:rsidRDefault="00BE04C8" w:rsidP="003E7D8A">
            <w:pPr>
              <w:autoSpaceDE w:val="0"/>
              <w:autoSpaceDN w:val="0"/>
              <w:adjustRightInd w:val="0"/>
              <w:rPr>
                <w:rFonts w:asciiTheme="minorHAnsi" w:hAnsiTheme="minorHAnsi" w:cstheme="minorHAnsi"/>
                <w:i/>
                <w:iCs/>
                <w:lang w:val="it-IT"/>
              </w:rPr>
            </w:pPr>
          </w:p>
        </w:tc>
        <w:tc>
          <w:tcPr>
            <w:tcW w:w="7230" w:type="dxa"/>
          </w:tcPr>
          <w:p w14:paraId="4EEBB04A" w14:textId="77777777" w:rsidR="0076321A" w:rsidRPr="00DB1028" w:rsidRDefault="0076321A" w:rsidP="0076321A">
            <w:pPr>
              <w:pStyle w:val="Default"/>
              <w:rPr>
                <w:rFonts w:asciiTheme="minorHAnsi" w:hAnsiTheme="minorHAnsi" w:cstheme="minorHAnsi"/>
                <w:sz w:val="20"/>
                <w:szCs w:val="20"/>
              </w:rPr>
            </w:pPr>
            <w:proofErr w:type="spellStart"/>
            <w:r w:rsidRPr="00DB1028">
              <w:rPr>
                <w:rFonts w:asciiTheme="minorHAnsi" w:hAnsiTheme="minorHAnsi" w:cstheme="minorHAnsi"/>
                <w:i/>
                <w:iCs/>
                <w:sz w:val="20"/>
                <w:szCs w:val="20"/>
              </w:rPr>
              <w:t>Ipogammaglobulinemia</w:t>
            </w:r>
            <w:proofErr w:type="spellEnd"/>
            <w:r w:rsidRPr="00DB1028">
              <w:rPr>
                <w:rFonts w:asciiTheme="minorHAnsi" w:hAnsiTheme="minorHAnsi" w:cstheme="minorHAnsi"/>
                <w:i/>
                <w:iCs/>
                <w:sz w:val="20"/>
                <w:szCs w:val="20"/>
              </w:rPr>
              <w:t xml:space="preserve"> </w:t>
            </w:r>
          </w:p>
          <w:p w14:paraId="42D6F81A" w14:textId="77777777" w:rsidR="0076321A" w:rsidRPr="00DB1028" w:rsidRDefault="0076321A" w:rsidP="0076321A">
            <w:pPr>
              <w:pStyle w:val="Default"/>
              <w:rPr>
                <w:rFonts w:asciiTheme="minorHAnsi" w:hAnsiTheme="minorHAnsi" w:cstheme="minorHAnsi"/>
                <w:sz w:val="20"/>
                <w:szCs w:val="20"/>
              </w:rPr>
            </w:pPr>
            <w:proofErr w:type="spellStart"/>
            <w:r w:rsidRPr="00DB1028">
              <w:rPr>
                <w:rFonts w:asciiTheme="minorHAnsi" w:hAnsiTheme="minorHAnsi" w:cstheme="minorHAnsi"/>
                <w:sz w:val="20"/>
                <w:szCs w:val="20"/>
              </w:rPr>
              <w:t>Ipogammaglobulinemia</w:t>
            </w:r>
            <w:proofErr w:type="spellEnd"/>
            <w:r w:rsidRPr="00DB1028">
              <w:rPr>
                <w:rFonts w:asciiTheme="minorHAnsi" w:hAnsiTheme="minorHAnsi" w:cstheme="minorHAnsi"/>
                <w:sz w:val="20"/>
                <w:szCs w:val="20"/>
              </w:rPr>
              <w:t xml:space="preserve"> è stata riportata nel </w:t>
            </w:r>
            <w:r w:rsidRPr="003E7D8A">
              <w:rPr>
                <w:rFonts w:asciiTheme="minorHAnsi" w:hAnsiTheme="minorHAnsi" w:cstheme="minorHAnsi"/>
                <w:b/>
                <w:bCs/>
                <w:sz w:val="20"/>
                <w:szCs w:val="20"/>
              </w:rPr>
              <w:t>49</w:t>
            </w:r>
            <w:r w:rsidRPr="00DB1028">
              <w:rPr>
                <w:rFonts w:asciiTheme="minorHAnsi" w:hAnsiTheme="minorHAnsi" w:cstheme="minorHAnsi"/>
                <w:sz w:val="20"/>
                <w:szCs w:val="20"/>
              </w:rPr>
              <w:t xml:space="preserve">% dei pazienti trattati con </w:t>
            </w:r>
            <w:proofErr w:type="spellStart"/>
            <w:r w:rsidRPr="00DB1028">
              <w:rPr>
                <w:rFonts w:asciiTheme="minorHAnsi" w:hAnsiTheme="minorHAnsi" w:cstheme="minorHAnsi"/>
                <w:sz w:val="20"/>
                <w:szCs w:val="20"/>
              </w:rPr>
              <w:t>Kymriah</w:t>
            </w:r>
            <w:proofErr w:type="spellEnd"/>
            <w:r w:rsidRPr="00DB1028">
              <w:rPr>
                <w:rFonts w:asciiTheme="minorHAnsi" w:hAnsiTheme="minorHAnsi" w:cstheme="minorHAnsi"/>
                <w:sz w:val="20"/>
                <w:szCs w:val="20"/>
              </w:rPr>
              <w:t xml:space="preserve"> per LLA r/r, nel 17% dei pazienti con DLBCL r/r e nel 17% dei pazienti con LF r/r. </w:t>
            </w:r>
          </w:p>
          <w:p w14:paraId="7CC42966" w14:textId="4BF8C287" w:rsidR="00893BF4" w:rsidRPr="00DB1028" w:rsidRDefault="0076321A" w:rsidP="0076321A">
            <w:pPr>
              <w:pStyle w:val="Default"/>
              <w:rPr>
                <w:rFonts w:asciiTheme="minorHAnsi" w:hAnsiTheme="minorHAnsi" w:cstheme="minorHAnsi"/>
                <w:i/>
                <w:iCs/>
                <w:sz w:val="20"/>
                <w:szCs w:val="20"/>
              </w:rPr>
            </w:pPr>
            <w:r w:rsidRPr="00DB1028">
              <w:rPr>
                <w:rFonts w:asciiTheme="minorHAnsi" w:hAnsiTheme="minorHAnsi" w:cstheme="minorHAnsi"/>
                <w:sz w:val="20"/>
                <w:szCs w:val="20"/>
              </w:rPr>
              <w:t xml:space="preserve">Le donne in gravidanza che hanno ricevuto </w:t>
            </w:r>
            <w:proofErr w:type="spellStart"/>
            <w:r w:rsidRPr="00DB1028">
              <w:rPr>
                <w:rFonts w:asciiTheme="minorHAnsi" w:hAnsiTheme="minorHAnsi" w:cstheme="minorHAnsi"/>
                <w:sz w:val="20"/>
                <w:szCs w:val="20"/>
              </w:rPr>
              <w:t>Kymriah</w:t>
            </w:r>
            <w:proofErr w:type="spellEnd"/>
            <w:r w:rsidRPr="00DB1028">
              <w:rPr>
                <w:rFonts w:asciiTheme="minorHAnsi" w:hAnsiTheme="minorHAnsi" w:cstheme="minorHAnsi"/>
                <w:sz w:val="20"/>
                <w:szCs w:val="20"/>
              </w:rPr>
              <w:t xml:space="preserve"> possono avere </w:t>
            </w:r>
            <w:proofErr w:type="spellStart"/>
            <w:r w:rsidRPr="00DB1028">
              <w:rPr>
                <w:rFonts w:asciiTheme="minorHAnsi" w:hAnsiTheme="minorHAnsi" w:cstheme="minorHAnsi"/>
                <w:sz w:val="20"/>
                <w:szCs w:val="20"/>
              </w:rPr>
              <w:t>ipogammaglobulinemia</w:t>
            </w:r>
            <w:proofErr w:type="spellEnd"/>
            <w:r w:rsidRPr="00DB1028">
              <w:rPr>
                <w:rFonts w:asciiTheme="minorHAnsi" w:hAnsiTheme="minorHAnsi" w:cstheme="minorHAnsi"/>
                <w:sz w:val="20"/>
                <w:szCs w:val="20"/>
              </w:rPr>
              <w:t xml:space="preserve">. I livelli di immunoglobuline devono essere valutati nei neonati di madri trattate con </w:t>
            </w:r>
            <w:proofErr w:type="spellStart"/>
            <w:r w:rsidRPr="00DB1028">
              <w:rPr>
                <w:rFonts w:asciiTheme="minorHAnsi" w:hAnsiTheme="minorHAnsi" w:cstheme="minorHAnsi"/>
                <w:sz w:val="20"/>
                <w:szCs w:val="20"/>
              </w:rPr>
              <w:t>Kymriah</w:t>
            </w:r>
            <w:proofErr w:type="spellEnd"/>
            <w:r w:rsidRPr="00DB1028">
              <w:rPr>
                <w:rFonts w:asciiTheme="minorHAnsi" w:hAnsiTheme="minorHAnsi" w:cstheme="minorHAnsi"/>
                <w:sz w:val="20"/>
                <w:szCs w:val="20"/>
              </w:rPr>
              <w:t>.</w:t>
            </w:r>
          </w:p>
        </w:tc>
      </w:tr>
      <w:tr w:rsidR="00123CE0" w:rsidRPr="00B42B2B" w14:paraId="6D7C05FC" w14:textId="77777777" w:rsidTr="00E04950">
        <w:tc>
          <w:tcPr>
            <w:tcW w:w="6946" w:type="dxa"/>
          </w:tcPr>
          <w:p w14:paraId="6176640C" w14:textId="77777777" w:rsidR="006C06E5" w:rsidRPr="00DB1028" w:rsidRDefault="006C06E5" w:rsidP="006C06E5">
            <w:pPr>
              <w:autoSpaceDE w:val="0"/>
              <w:autoSpaceDN w:val="0"/>
              <w:adjustRightInd w:val="0"/>
              <w:rPr>
                <w:rFonts w:asciiTheme="minorHAnsi" w:hAnsiTheme="minorHAnsi" w:cstheme="minorHAnsi"/>
                <w:i/>
                <w:iCs/>
                <w:lang w:val="it-IT"/>
              </w:rPr>
            </w:pPr>
            <w:r w:rsidRPr="00DB1028">
              <w:rPr>
                <w:rFonts w:asciiTheme="minorHAnsi" w:hAnsiTheme="minorHAnsi" w:cstheme="minorHAnsi"/>
                <w:i/>
                <w:iCs/>
                <w:lang w:val="it-IT"/>
              </w:rPr>
              <w:t>Immunogenicità</w:t>
            </w:r>
          </w:p>
          <w:p w14:paraId="4A753DC7" w14:textId="2C3CC153" w:rsidR="006C06E5" w:rsidRPr="00DB1028" w:rsidRDefault="006C06E5" w:rsidP="006C06E5">
            <w:pPr>
              <w:autoSpaceDE w:val="0"/>
              <w:autoSpaceDN w:val="0"/>
              <w:adjustRightInd w:val="0"/>
              <w:rPr>
                <w:rFonts w:asciiTheme="minorHAnsi" w:hAnsiTheme="minorHAnsi" w:cstheme="minorHAnsi"/>
                <w:lang w:val="it-IT"/>
              </w:rPr>
            </w:pPr>
            <w:r w:rsidRPr="00DB1028">
              <w:rPr>
                <w:rFonts w:asciiTheme="minorHAnsi" w:eastAsia="TimesNewRomanPSMT" w:hAnsiTheme="minorHAnsi" w:cstheme="minorHAnsi"/>
                <w:lang w:val="it-IT"/>
              </w:rPr>
              <w:t xml:space="preserve">Negli studi clinici, l’immunogenicità umorale di </w:t>
            </w:r>
            <w:proofErr w:type="spellStart"/>
            <w:r w:rsidRPr="00DB1028">
              <w:rPr>
                <w:rFonts w:asciiTheme="minorHAnsi" w:eastAsia="TimesNewRomanPSMT" w:hAnsiTheme="minorHAnsi" w:cstheme="minorHAnsi"/>
                <w:lang w:val="it-IT"/>
              </w:rPr>
              <w:t>tisagenlecleucel</w:t>
            </w:r>
            <w:proofErr w:type="spellEnd"/>
            <w:r w:rsidRPr="00DB1028">
              <w:rPr>
                <w:rFonts w:asciiTheme="minorHAnsi" w:eastAsia="TimesNewRomanPSMT" w:hAnsiTheme="minorHAnsi" w:cstheme="minorHAnsi"/>
                <w:lang w:val="it-IT"/>
              </w:rPr>
              <w:t xml:space="preserve"> è stata misurata mediante la</w:t>
            </w:r>
            <w:r w:rsidR="00227875">
              <w:rPr>
                <w:rFonts w:asciiTheme="minorHAnsi" w:eastAsia="TimesNewRomanPSMT" w:hAnsiTheme="minorHAnsi" w:cstheme="minorHAnsi"/>
                <w:lang w:val="it-IT"/>
              </w:rPr>
              <w:t xml:space="preserve"> </w:t>
            </w:r>
            <w:r w:rsidRPr="00DB1028">
              <w:rPr>
                <w:rFonts w:asciiTheme="minorHAnsi" w:hAnsiTheme="minorHAnsi" w:cstheme="minorHAnsi"/>
                <w:lang w:val="it-IT"/>
              </w:rPr>
              <w:t xml:space="preserve">determinazione degli anticorpi anti-CAR19 murino (anti-mCAR19) nel siero </w:t>
            </w:r>
            <w:proofErr w:type="spellStart"/>
            <w:r w:rsidRPr="00DB1028">
              <w:rPr>
                <w:rFonts w:asciiTheme="minorHAnsi" w:hAnsiTheme="minorHAnsi" w:cstheme="minorHAnsi"/>
                <w:lang w:val="it-IT"/>
              </w:rPr>
              <w:t>pre</w:t>
            </w:r>
            <w:proofErr w:type="spellEnd"/>
            <w:r w:rsidRPr="00DB1028">
              <w:rPr>
                <w:rFonts w:asciiTheme="minorHAnsi" w:hAnsiTheme="minorHAnsi" w:cstheme="minorHAnsi"/>
                <w:lang w:val="it-IT"/>
              </w:rPr>
              <w:t>- e</w:t>
            </w:r>
            <w:r w:rsidR="00227875">
              <w:rPr>
                <w:rFonts w:asciiTheme="minorHAnsi" w:hAnsiTheme="minorHAnsi" w:cstheme="minorHAnsi"/>
                <w:lang w:val="it-IT"/>
              </w:rPr>
              <w:t xml:space="preserve"> </w:t>
            </w:r>
            <w:r w:rsidRPr="00DB1028">
              <w:rPr>
                <w:rFonts w:asciiTheme="minorHAnsi" w:hAnsiTheme="minorHAnsi" w:cstheme="minorHAnsi"/>
                <w:lang w:val="it-IT"/>
              </w:rPr>
              <w:t>post-somministrazione. La maggior parte dei pazienti pediatrici e giovani adulti con LLA (B2202,</w:t>
            </w:r>
            <w:r w:rsidR="00227875">
              <w:rPr>
                <w:rFonts w:asciiTheme="minorHAnsi" w:hAnsiTheme="minorHAnsi" w:cstheme="minorHAnsi"/>
                <w:lang w:val="it-IT"/>
              </w:rPr>
              <w:t xml:space="preserve"> </w:t>
            </w:r>
            <w:r w:rsidRPr="00862EBA">
              <w:rPr>
                <w:rFonts w:asciiTheme="minorHAnsi" w:hAnsiTheme="minorHAnsi" w:cstheme="minorHAnsi"/>
                <w:highlight w:val="yellow"/>
                <w:lang w:val="it-IT"/>
              </w:rPr>
              <w:t>91,1%),</w:t>
            </w:r>
            <w:r w:rsidRPr="00DB1028">
              <w:rPr>
                <w:rFonts w:asciiTheme="minorHAnsi" w:hAnsiTheme="minorHAnsi" w:cstheme="minorHAnsi"/>
                <w:lang w:val="it-IT"/>
              </w:rPr>
              <w:t xml:space="preserve"> dei pazienti adulti con DLBCL (C2201, 93,9%) e dei pazienti adulti con LF (E2202, 66,0%) è</w:t>
            </w:r>
            <w:r w:rsidR="00227875">
              <w:rPr>
                <w:rFonts w:asciiTheme="minorHAnsi" w:hAnsiTheme="minorHAnsi" w:cstheme="minorHAnsi"/>
                <w:lang w:val="it-IT"/>
              </w:rPr>
              <w:t xml:space="preserve"> </w:t>
            </w:r>
            <w:r w:rsidRPr="00DB1028">
              <w:rPr>
                <w:rFonts w:asciiTheme="minorHAnsi" w:hAnsiTheme="minorHAnsi" w:cstheme="minorHAnsi"/>
                <w:lang w:val="it-IT"/>
              </w:rPr>
              <w:t xml:space="preserve">risultata positiva per gli anticorpi anti-mCAR19 </w:t>
            </w:r>
            <w:proofErr w:type="spellStart"/>
            <w:r w:rsidRPr="00DB1028">
              <w:rPr>
                <w:rFonts w:asciiTheme="minorHAnsi" w:hAnsiTheme="minorHAnsi" w:cstheme="minorHAnsi"/>
                <w:lang w:val="it-IT"/>
              </w:rPr>
              <w:t>pre</w:t>
            </w:r>
            <w:proofErr w:type="spellEnd"/>
            <w:r w:rsidRPr="00DB1028">
              <w:rPr>
                <w:rFonts w:asciiTheme="minorHAnsi" w:hAnsiTheme="minorHAnsi" w:cstheme="minorHAnsi"/>
                <w:lang w:val="it-IT"/>
              </w:rPr>
              <w:t>-dose.</w:t>
            </w:r>
          </w:p>
          <w:p w14:paraId="461DA8BA" w14:textId="0E37C2A6" w:rsidR="006C06E5" w:rsidRPr="00DB1028" w:rsidRDefault="006C06E5" w:rsidP="006C06E5">
            <w:pPr>
              <w:autoSpaceDE w:val="0"/>
              <w:autoSpaceDN w:val="0"/>
              <w:adjustRightInd w:val="0"/>
              <w:rPr>
                <w:rFonts w:asciiTheme="minorHAnsi" w:eastAsia="TimesNewRomanPSMT" w:hAnsiTheme="minorHAnsi" w:cstheme="minorHAnsi"/>
                <w:lang w:val="it-IT"/>
              </w:rPr>
            </w:pPr>
            <w:r w:rsidRPr="00DB1028">
              <w:rPr>
                <w:rFonts w:asciiTheme="minorHAnsi" w:hAnsiTheme="minorHAnsi" w:cstheme="minorHAnsi"/>
                <w:lang w:val="it-IT"/>
              </w:rPr>
              <w:t>Anticorpi anti-mCAR19 indotti dal trattamento sono stati rilevati nel 40,5% dei pazienti pediatrici e</w:t>
            </w:r>
            <w:r w:rsidR="00227875">
              <w:rPr>
                <w:rFonts w:asciiTheme="minorHAnsi" w:hAnsiTheme="minorHAnsi" w:cstheme="minorHAnsi"/>
                <w:lang w:val="it-IT"/>
              </w:rPr>
              <w:t xml:space="preserve"> </w:t>
            </w:r>
            <w:r w:rsidRPr="00DB1028">
              <w:rPr>
                <w:rFonts w:asciiTheme="minorHAnsi" w:hAnsiTheme="minorHAnsi" w:cstheme="minorHAnsi"/>
                <w:lang w:val="it-IT"/>
              </w:rPr>
              <w:t>giovani adulti con LLA, nel</w:t>
            </w:r>
            <w:r w:rsidRPr="00DB1028">
              <w:rPr>
                <w:rFonts w:asciiTheme="minorHAnsi" w:eastAsia="TimesNewRomanPSMT" w:hAnsiTheme="minorHAnsi" w:cstheme="minorHAnsi"/>
                <w:lang w:val="it-IT"/>
              </w:rPr>
              <w:t>l’</w:t>
            </w:r>
            <w:r w:rsidRPr="00DB1028">
              <w:rPr>
                <w:rFonts w:asciiTheme="minorHAnsi" w:hAnsiTheme="minorHAnsi" w:cstheme="minorHAnsi"/>
                <w:lang w:val="it-IT"/>
              </w:rPr>
              <w:t>8,7% dei pazienti adulti con DLBCL e nel 28,7% dei pazienti adulti con</w:t>
            </w:r>
            <w:r w:rsidR="00227875">
              <w:rPr>
                <w:rFonts w:asciiTheme="minorHAnsi" w:hAnsiTheme="minorHAnsi" w:cstheme="minorHAnsi"/>
                <w:lang w:val="it-IT"/>
              </w:rPr>
              <w:t xml:space="preserve"> </w:t>
            </w:r>
            <w:r w:rsidRPr="00DB1028">
              <w:rPr>
                <w:rFonts w:asciiTheme="minorHAnsi" w:hAnsiTheme="minorHAnsi" w:cstheme="minorHAnsi"/>
                <w:lang w:val="it-IT"/>
              </w:rPr>
              <w:t>LF. Anticorpi preesistenti e indotti dal trattamento non sono stati associati ad un impatto sulla risposta</w:t>
            </w:r>
            <w:r w:rsidR="00227875">
              <w:rPr>
                <w:rFonts w:asciiTheme="minorHAnsi" w:hAnsiTheme="minorHAnsi" w:cstheme="minorHAnsi"/>
                <w:lang w:val="it-IT"/>
              </w:rPr>
              <w:t xml:space="preserve"> </w:t>
            </w:r>
            <w:r w:rsidRPr="00DB1028">
              <w:rPr>
                <w:rFonts w:asciiTheme="minorHAnsi" w:eastAsia="TimesNewRomanPSMT" w:hAnsiTheme="minorHAnsi" w:cstheme="minorHAnsi"/>
                <w:lang w:val="it-IT"/>
              </w:rPr>
              <w:t xml:space="preserve">clinica né hanno avuto un impatto sull’espansione e la persistenza di </w:t>
            </w:r>
            <w:proofErr w:type="spellStart"/>
            <w:r w:rsidRPr="00DB1028">
              <w:rPr>
                <w:rFonts w:asciiTheme="minorHAnsi" w:eastAsia="TimesNewRomanPSMT" w:hAnsiTheme="minorHAnsi" w:cstheme="minorHAnsi"/>
                <w:lang w:val="it-IT"/>
              </w:rPr>
              <w:t>tisagenlecleucel</w:t>
            </w:r>
            <w:proofErr w:type="spellEnd"/>
            <w:r w:rsidRPr="00DB1028">
              <w:rPr>
                <w:rFonts w:asciiTheme="minorHAnsi" w:eastAsia="TimesNewRomanPSMT" w:hAnsiTheme="minorHAnsi" w:cstheme="minorHAnsi"/>
                <w:lang w:val="it-IT"/>
              </w:rPr>
              <w:t>. Non c’è</w:t>
            </w:r>
            <w:r w:rsidR="009B099A" w:rsidRPr="00DB1028">
              <w:rPr>
                <w:rFonts w:asciiTheme="minorHAnsi" w:eastAsia="TimesNewRomanPSMT" w:hAnsiTheme="minorHAnsi" w:cstheme="minorHAnsi"/>
                <w:lang w:val="it-IT"/>
              </w:rPr>
              <w:t xml:space="preserve"> </w:t>
            </w:r>
            <w:r w:rsidRPr="00DB1028">
              <w:rPr>
                <w:rFonts w:asciiTheme="minorHAnsi" w:hAnsiTheme="minorHAnsi" w:cstheme="minorHAnsi"/>
                <w:lang w:val="it-IT"/>
              </w:rPr>
              <w:t>evidenza che la presenza di anticorpi anti-mCAR19 preesistenti e indotti dal trattamento influenzi la</w:t>
            </w:r>
            <w:r w:rsidR="00227875">
              <w:rPr>
                <w:rFonts w:asciiTheme="minorHAnsi" w:hAnsiTheme="minorHAnsi" w:cstheme="minorHAnsi"/>
                <w:lang w:val="it-IT"/>
              </w:rPr>
              <w:t xml:space="preserve"> </w:t>
            </w:r>
            <w:r w:rsidRPr="00DB1028">
              <w:rPr>
                <w:rFonts w:asciiTheme="minorHAnsi" w:hAnsiTheme="minorHAnsi" w:cstheme="minorHAnsi"/>
                <w:lang w:val="it-IT"/>
              </w:rPr>
              <w:t xml:space="preserve">sicurezza o </w:t>
            </w:r>
            <w:r w:rsidRPr="00DB1028">
              <w:rPr>
                <w:rFonts w:asciiTheme="minorHAnsi" w:eastAsia="TimesNewRomanPSMT" w:hAnsiTheme="minorHAnsi" w:cstheme="minorHAnsi"/>
                <w:lang w:val="it-IT"/>
              </w:rPr>
              <w:t xml:space="preserve">l’efficacia di </w:t>
            </w:r>
            <w:proofErr w:type="spellStart"/>
            <w:r w:rsidRPr="00DB1028">
              <w:rPr>
                <w:rFonts w:asciiTheme="minorHAnsi" w:eastAsia="TimesNewRomanPSMT" w:hAnsiTheme="minorHAnsi" w:cstheme="minorHAnsi"/>
                <w:lang w:val="it-IT"/>
              </w:rPr>
              <w:t>Kymriah</w:t>
            </w:r>
            <w:proofErr w:type="spellEnd"/>
            <w:r w:rsidRPr="00DB1028">
              <w:rPr>
                <w:rFonts w:asciiTheme="minorHAnsi" w:eastAsia="TimesNewRomanPSMT" w:hAnsiTheme="minorHAnsi" w:cstheme="minorHAnsi"/>
                <w:lang w:val="it-IT"/>
              </w:rPr>
              <w:t>.</w:t>
            </w:r>
          </w:p>
          <w:p w14:paraId="6406E8D4" w14:textId="77777777" w:rsidR="0076321A" w:rsidRDefault="006C06E5" w:rsidP="00227875">
            <w:pPr>
              <w:autoSpaceDE w:val="0"/>
              <w:autoSpaceDN w:val="0"/>
              <w:adjustRightInd w:val="0"/>
              <w:rPr>
                <w:rFonts w:asciiTheme="minorHAnsi" w:hAnsiTheme="minorHAnsi" w:cstheme="minorHAnsi"/>
                <w:lang w:val="it-IT"/>
              </w:rPr>
            </w:pPr>
            <w:r w:rsidRPr="00DB1028">
              <w:rPr>
                <w:rFonts w:asciiTheme="minorHAnsi" w:hAnsiTheme="minorHAnsi" w:cstheme="minorHAnsi"/>
                <w:lang w:val="it-IT"/>
              </w:rPr>
              <w:t>Risposte di immunogenicità delle cellule T non sono state osservate nei pazienti pediatrici e giovani</w:t>
            </w:r>
            <w:r w:rsidR="00227875">
              <w:rPr>
                <w:rFonts w:asciiTheme="minorHAnsi" w:hAnsiTheme="minorHAnsi" w:cstheme="minorHAnsi"/>
                <w:lang w:val="it-IT"/>
              </w:rPr>
              <w:t xml:space="preserve"> </w:t>
            </w:r>
            <w:r w:rsidRPr="00DB1028">
              <w:rPr>
                <w:rFonts w:asciiTheme="minorHAnsi" w:hAnsiTheme="minorHAnsi" w:cstheme="minorHAnsi"/>
                <w:lang w:val="it-IT"/>
              </w:rPr>
              <w:t>adulti con LLA a cellule B, nei pazienti adulti con DLBCL r/r e nei pazienti adulti con LF.</w:t>
            </w:r>
          </w:p>
          <w:p w14:paraId="7F17ACB1" w14:textId="67CDFA44" w:rsidR="00BE04C8" w:rsidRPr="00DB1028" w:rsidRDefault="00BE04C8" w:rsidP="00227875">
            <w:pPr>
              <w:autoSpaceDE w:val="0"/>
              <w:autoSpaceDN w:val="0"/>
              <w:adjustRightInd w:val="0"/>
              <w:rPr>
                <w:rFonts w:asciiTheme="minorHAnsi" w:hAnsiTheme="minorHAnsi" w:cstheme="minorHAnsi"/>
                <w:i/>
                <w:iCs/>
                <w:lang w:val="it-IT"/>
              </w:rPr>
            </w:pPr>
          </w:p>
        </w:tc>
        <w:tc>
          <w:tcPr>
            <w:tcW w:w="7230" w:type="dxa"/>
          </w:tcPr>
          <w:p w14:paraId="26A11473" w14:textId="77777777" w:rsidR="00C928F4" w:rsidRPr="00DB1028" w:rsidRDefault="00C928F4" w:rsidP="00C928F4">
            <w:pPr>
              <w:pStyle w:val="Default"/>
              <w:rPr>
                <w:rFonts w:asciiTheme="minorHAnsi" w:hAnsiTheme="minorHAnsi" w:cstheme="minorHAnsi"/>
                <w:sz w:val="20"/>
                <w:szCs w:val="20"/>
              </w:rPr>
            </w:pPr>
            <w:r w:rsidRPr="00DB1028">
              <w:rPr>
                <w:rFonts w:asciiTheme="minorHAnsi" w:hAnsiTheme="minorHAnsi" w:cstheme="minorHAnsi"/>
                <w:i/>
                <w:iCs/>
                <w:sz w:val="20"/>
                <w:szCs w:val="20"/>
              </w:rPr>
              <w:t xml:space="preserve">Immunogenicità </w:t>
            </w:r>
          </w:p>
          <w:p w14:paraId="0C9A3F65" w14:textId="77777777" w:rsidR="00C928F4" w:rsidRPr="00DB1028" w:rsidRDefault="00C928F4" w:rsidP="00C928F4">
            <w:pPr>
              <w:pStyle w:val="Default"/>
              <w:rPr>
                <w:rFonts w:asciiTheme="minorHAnsi" w:hAnsiTheme="minorHAnsi" w:cstheme="minorHAnsi"/>
                <w:sz w:val="20"/>
                <w:szCs w:val="20"/>
              </w:rPr>
            </w:pPr>
            <w:r w:rsidRPr="00DB1028">
              <w:rPr>
                <w:rFonts w:asciiTheme="minorHAnsi" w:hAnsiTheme="minorHAnsi" w:cstheme="minorHAnsi"/>
                <w:sz w:val="20"/>
                <w:szCs w:val="20"/>
              </w:rPr>
              <w:t xml:space="preserve">Negli studi clinici, l’immunogenicità umorale di </w:t>
            </w:r>
            <w:proofErr w:type="spellStart"/>
            <w:r w:rsidRPr="00DB1028">
              <w:rPr>
                <w:rFonts w:asciiTheme="minorHAnsi" w:hAnsiTheme="minorHAnsi" w:cstheme="minorHAnsi"/>
                <w:sz w:val="20"/>
                <w:szCs w:val="20"/>
              </w:rPr>
              <w:t>tisagenlecleucel</w:t>
            </w:r>
            <w:proofErr w:type="spellEnd"/>
            <w:r w:rsidRPr="00DB1028">
              <w:rPr>
                <w:rFonts w:asciiTheme="minorHAnsi" w:hAnsiTheme="minorHAnsi" w:cstheme="minorHAnsi"/>
                <w:sz w:val="20"/>
                <w:szCs w:val="20"/>
              </w:rPr>
              <w:t xml:space="preserve"> è stata misurata mediante la determinazione degli anticorpi anti-CAR19 murino (anti-mCAR19) nel siero </w:t>
            </w:r>
            <w:proofErr w:type="spellStart"/>
            <w:r w:rsidRPr="00DB1028">
              <w:rPr>
                <w:rFonts w:asciiTheme="minorHAnsi" w:hAnsiTheme="minorHAnsi" w:cstheme="minorHAnsi"/>
                <w:sz w:val="20"/>
                <w:szCs w:val="20"/>
              </w:rPr>
              <w:t>pre</w:t>
            </w:r>
            <w:proofErr w:type="spellEnd"/>
            <w:r w:rsidRPr="00DB1028">
              <w:rPr>
                <w:rFonts w:asciiTheme="minorHAnsi" w:hAnsiTheme="minorHAnsi" w:cstheme="minorHAnsi"/>
                <w:sz w:val="20"/>
                <w:szCs w:val="20"/>
              </w:rPr>
              <w:t>- e post-somministrazione. La maggior parte dei pazienti pediatrici e giovani adulti con LLA (B2202</w:t>
            </w:r>
            <w:r w:rsidRPr="00862EBA">
              <w:rPr>
                <w:rFonts w:asciiTheme="minorHAnsi" w:hAnsiTheme="minorHAnsi" w:cstheme="minorHAnsi"/>
                <w:b/>
                <w:bCs/>
                <w:sz w:val="20"/>
                <w:szCs w:val="20"/>
              </w:rPr>
              <w:t>, B2205J, B2001X, 84.0%</w:t>
            </w:r>
            <w:r w:rsidRPr="00DB1028">
              <w:rPr>
                <w:rFonts w:asciiTheme="minorHAnsi" w:hAnsiTheme="minorHAnsi" w:cstheme="minorHAnsi"/>
                <w:sz w:val="20"/>
                <w:szCs w:val="20"/>
              </w:rPr>
              <w:t xml:space="preserve">), dei pazienti adulti con DLBCL (C2201, 93,9%) e dei pazienti adulti con LF (E2202, 66,0%) è risultata positiva per gli anticorpi anti-mCAR19 </w:t>
            </w:r>
            <w:proofErr w:type="spellStart"/>
            <w:r w:rsidRPr="00DB1028">
              <w:rPr>
                <w:rFonts w:asciiTheme="minorHAnsi" w:hAnsiTheme="minorHAnsi" w:cstheme="minorHAnsi"/>
                <w:sz w:val="20"/>
                <w:szCs w:val="20"/>
              </w:rPr>
              <w:t>pre</w:t>
            </w:r>
            <w:proofErr w:type="spellEnd"/>
            <w:r w:rsidRPr="00DB1028">
              <w:rPr>
                <w:rFonts w:asciiTheme="minorHAnsi" w:hAnsiTheme="minorHAnsi" w:cstheme="minorHAnsi"/>
                <w:sz w:val="20"/>
                <w:szCs w:val="20"/>
              </w:rPr>
              <w:t xml:space="preserve">-dose. </w:t>
            </w:r>
          </w:p>
          <w:p w14:paraId="147EC156" w14:textId="77777777" w:rsidR="00C928F4" w:rsidRPr="00DB1028" w:rsidRDefault="00C928F4" w:rsidP="00C928F4">
            <w:pPr>
              <w:pStyle w:val="Default"/>
              <w:rPr>
                <w:rFonts w:asciiTheme="minorHAnsi" w:hAnsiTheme="minorHAnsi" w:cstheme="minorHAnsi"/>
                <w:sz w:val="20"/>
                <w:szCs w:val="20"/>
              </w:rPr>
            </w:pPr>
            <w:r w:rsidRPr="00DB1028">
              <w:rPr>
                <w:rFonts w:asciiTheme="minorHAnsi" w:hAnsiTheme="minorHAnsi" w:cstheme="minorHAnsi"/>
                <w:sz w:val="20"/>
                <w:szCs w:val="20"/>
              </w:rPr>
              <w:t xml:space="preserve">Anticorpi anti-mCAR19 indotti dal trattamento sono stati rilevati nel 40,5% dei pazienti pediatrici e giovani adulti con LLA (B2202), nell’8,7% dei pazienti adulti con DLBCL e nel 28,7% dei pazienti adulti con LF. Anticorpi preesistenti e indotti dal trattamento non sono stati associati ad un impatto sulla risposta clinica né hanno avuto un impatto sull’espansione e la persistenza di </w:t>
            </w:r>
            <w:proofErr w:type="spellStart"/>
            <w:r w:rsidRPr="00DB1028">
              <w:rPr>
                <w:rFonts w:asciiTheme="minorHAnsi" w:hAnsiTheme="minorHAnsi" w:cstheme="minorHAnsi"/>
                <w:sz w:val="20"/>
                <w:szCs w:val="20"/>
              </w:rPr>
              <w:t>tisagenlecleucel</w:t>
            </w:r>
            <w:proofErr w:type="spellEnd"/>
            <w:r w:rsidRPr="00DB1028">
              <w:rPr>
                <w:rFonts w:asciiTheme="minorHAnsi" w:hAnsiTheme="minorHAnsi" w:cstheme="minorHAnsi"/>
                <w:sz w:val="20"/>
                <w:szCs w:val="20"/>
              </w:rPr>
              <w:t xml:space="preserve">. Non c’è evidenza che la presenza di anticorpi anti-mCAR19 preesistenti e indotti dal trattamento influenzi la sicurezza o l’efficacia di </w:t>
            </w:r>
            <w:proofErr w:type="spellStart"/>
            <w:r w:rsidRPr="00DB1028">
              <w:rPr>
                <w:rFonts w:asciiTheme="minorHAnsi" w:hAnsiTheme="minorHAnsi" w:cstheme="minorHAnsi"/>
                <w:sz w:val="20"/>
                <w:szCs w:val="20"/>
              </w:rPr>
              <w:t>Kymriah</w:t>
            </w:r>
            <w:proofErr w:type="spellEnd"/>
            <w:r w:rsidRPr="00DB1028">
              <w:rPr>
                <w:rFonts w:asciiTheme="minorHAnsi" w:hAnsiTheme="minorHAnsi" w:cstheme="minorHAnsi"/>
                <w:sz w:val="20"/>
                <w:szCs w:val="20"/>
              </w:rPr>
              <w:t xml:space="preserve">. </w:t>
            </w:r>
          </w:p>
          <w:p w14:paraId="4A48FF6E" w14:textId="5DCBCA32" w:rsidR="0076321A" w:rsidRPr="00DB1028" w:rsidRDefault="00C928F4" w:rsidP="00C928F4">
            <w:pPr>
              <w:pStyle w:val="Default"/>
              <w:rPr>
                <w:rFonts w:asciiTheme="minorHAnsi" w:hAnsiTheme="minorHAnsi" w:cstheme="minorHAnsi"/>
                <w:i/>
                <w:iCs/>
                <w:sz w:val="20"/>
                <w:szCs w:val="20"/>
              </w:rPr>
            </w:pPr>
            <w:r w:rsidRPr="00DB1028">
              <w:rPr>
                <w:rFonts w:asciiTheme="minorHAnsi" w:hAnsiTheme="minorHAnsi" w:cstheme="minorHAnsi"/>
                <w:sz w:val="20"/>
                <w:szCs w:val="20"/>
              </w:rPr>
              <w:t>Risposte di immunogenicità delle cellule T non sono state osservate nei pazienti pediatrici e giovani adulti con LLA a cellule B, nei pazienti adulti con DLBCL r/r e nei pazienti adulti con LF.</w:t>
            </w:r>
          </w:p>
        </w:tc>
      </w:tr>
      <w:tr w:rsidR="009F39F3" w:rsidRPr="00DB1028" w14:paraId="183BFBBF" w14:textId="77777777" w:rsidTr="00A01AF5">
        <w:tc>
          <w:tcPr>
            <w:tcW w:w="14176" w:type="dxa"/>
            <w:gridSpan w:val="2"/>
          </w:tcPr>
          <w:p w14:paraId="2F3826F9" w14:textId="1CF40331" w:rsidR="009F39F3" w:rsidRPr="00301495" w:rsidRDefault="009F39F3" w:rsidP="00301495">
            <w:pPr>
              <w:pStyle w:val="Default"/>
              <w:jc w:val="center"/>
              <w:rPr>
                <w:rFonts w:asciiTheme="minorHAnsi" w:hAnsiTheme="minorHAnsi" w:cstheme="minorHAnsi"/>
                <w:b/>
                <w:bCs/>
                <w:color w:val="FF0000"/>
                <w:sz w:val="20"/>
                <w:szCs w:val="20"/>
              </w:rPr>
            </w:pPr>
            <w:r w:rsidRPr="00301495">
              <w:rPr>
                <w:rFonts w:asciiTheme="minorHAnsi" w:hAnsiTheme="minorHAnsi" w:cstheme="minorHAnsi"/>
                <w:b/>
                <w:bCs/>
                <w:color w:val="FF0000"/>
                <w:sz w:val="20"/>
                <w:szCs w:val="20"/>
              </w:rPr>
              <w:t>Sezione 5.1</w:t>
            </w:r>
          </w:p>
        </w:tc>
      </w:tr>
      <w:tr w:rsidR="00123CE0" w:rsidRPr="00B42B2B" w14:paraId="1E61A394" w14:textId="77777777" w:rsidTr="00E04950">
        <w:tc>
          <w:tcPr>
            <w:tcW w:w="6946" w:type="dxa"/>
          </w:tcPr>
          <w:p w14:paraId="1CA68973" w14:textId="77777777" w:rsidR="009F39F3" w:rsidRPr="00301495" w:rsidRDefault="009F39F3" w:rsidP="009F39F3">
            <w:pPr>
              <w:autoSpaceDE w:val="0"/>
              <w:autoSpaceDN w:val="0"/>
              <w:adjustRightInd w:val="0"/>
              <w:rPr>
                <w:rFonts w:asciiTheme="minorHAnsi" w:hAnsiTheme="minorHAnsi" w:cstheme="minorHAnsi"/>
                <w:u w:val="single"/>
                <w:lang w:val="it-IT"/>
              </w:rPr>
            </w:pPr>
            <w:r w:rsidRPr="00301495">
              <w:rPr>
                <w:rFonts w:asciiTheme="minorHAnsi" w:hAnsiTheme="minorHAnsi" w:cstheme="minorHAnsi"/>
                <w:u w:val="single"/>
                <w:lang w:val="it-IT"/>
              </w:rPr>
              <w:t>Popolazione pediatrica</w:t>
            </w:r>
          </w:p>
          <w:p w14:paraId="11341DD2" w14:textId="5F29C7AD" w:rsidR="009F39F3" w:rsidRPr="00430BD1" w:rsidRDefault="009F39F3" w:rsidP="009F39F3">
            <w:pPr>
              <w:autoSpaceDE w:val="0"/>
              <w:autoSpaceDN w:val="0"/>
              <w:adjustRightInd w:val="0"/>
              <w:rPr>
                <w:rFonts w:asciiTheme="minorHAnsi" w:hAnsiTheme="minorHAnsi" w:cstheme="minorHAnsi"/>
                <w:highlight w:val="yellow"/>
                <w:lang w:val="it-IT"/>
              </w:rPr>
            </w:pPr>
            <w:r w:rsidRPr="00DB1028">
              <w:rPr>
                <w:rFonts w:asciiTheme="minorHAnsi" w:eastAsia="TimesNewRomanPSMT" w:hAnsiTheme="minorHAnsi" w:cstheme="minorHAnsi"/>
                <w:lang w:val="it-IT"/>
              </w:rPr>
              <w:t>L’A</w:t>
            </w:r>
            <w:r w:rsidRPr="00430BD1">
              <w:rPr>
                <w:rFonts w:asciiTheme="minorHAnsi" w:eastAsia="TimesNewRomanPSMT" w:hAnsiTheme="minorHAnsi" w:cstheme="minorHAnsi"/>
                <w:highlight w:val="yellow"/>
                <w:lang w:val="it-IT"/>
              </w:rPr>
              <w:t>genzia europea dei medicinali ha rinviato l’obbligo di presentare i risultati degli studi con</w:t>
            </w:r>
            <w:r w:rsidR="00301495" w:rsidRPr="00430BD1">
              <w:rPr>
                <w:rFonts w:asciiTheme="minorHAnsi" w:eastAsia="TimesNewRomanPSMT" w:hAnsiTheme="minorHAnsi" w:cstheme="minorHAnsi"/>
                <w:highlight w:val="yellow"/>
                <w:lang w:val="it-IT"/>
              </w:rPr>
              <w:t xml:space="preserve"> </w:t>
            </w:r>
            <w:proofErr w:type="spellStart"/>
            <w:r w:rsidRPr="00430BD1">
              <w:rPr>
                <w:rFonts w:asciiTheme="minorHAnsi" w:hAnsiTheme="minorHAnsi" w:cstheme="minorHAnsi"/>
                <w:highlight w:val="yellow"/>
                <w:lang w:val="it-IT"/>
              </w:rPr>
              <w:t>Kymriah</w:t>
            </w:r>
            <w:proofErr w:type="spellEnd"/>
            <w:r w:rsidRPr="00430BD1">
              <w:rPr>
                <w:rFonts w:asciiTheme="minorHAnsi" w:hAnsiTheme="minorHAnsi" w:cstheme="minorHAnsi"/>
                <w:highlight w:val="yellow"/>
                <w:lang w:val="it-IT"/>
              </w:rPr>
              <w:t xml:space="preserve"> in uno o più sottogruppi della popolazione pediatrica per le seguenti condizioni:</w:t>
            </w:r>
          </w:p>
          <w:p w14:paraId="64F3F574" w14:textId="61850166" w:rsidR="0076321A" w:rsidRPr="00DB1028" w:rsidRDefault="009F39F3" w:rsidP="00301495">
            <w:pPr>
              <w:autoSpaceDE w:val="0"/>
              <w:autoSpaceDN w:val="0"/>
              <w:adjustRightInd w:val="0"/>
              <w:rPr>
                <w:rFonts w:asciiTheme="minorHAnsi" w:hAnsiTheme="minorHAnsi" w:cstheme="minorHAnsi"/>
                <w:i/>
                <w:iCs/>
                <w:lang w:val="it-IT"/>
              </w:rPr>
            </w:pPr>
            <w:r w:rsidRPr="00430BD1">
              <w:rPr>
                <w:rFonts w:asciiTheme="minorHAnsi" w:hAnsiTheme="minorHAnsi" w:cstheme="minorHAnsi"/>
                <w:highlight w:val="yellow"/>
                <w:lang w:val="it-IT"/>
              </w:rPr>
              <w:t>a) trattamento del linfoma linfoblastico a cellule B, e b) trattamento delle neoplasie a cellule B mature</w:t>
            </w:r>
            <w:r w:rsidR="00301495" w:rsidRPr="00430BD1">
              <w:rPr>
                <w:rFonts w:asciiTheme="minorHAnsi" w:hAnsiTheme="minorHAnsi" w:cstheme="minorHAnsi"/>
                <w:highlight w:val="yellow"/>
                <w:lang w:val="it-IT"/>
              </w:rPr>
              <w:t xml:space="preserve"> </w:t>
            </w:r>
            <w:r w:rsidRPr="00430BD1">
              <w:rPr>
                <w:rFonts w:asciiTheme="minorHAnsi" w:hAnsiTheme="minorHAnsi" w:cstheme="minorHAnsi"/>
                <w:highlight w:val="yellow"/>
                <w:lang w:val="it-IT"/>
              </w:rPr>
              <w:t xml:space="preserve">(vedere paragrafo </w:t>
            </w:r>
            <w:r w:rsidRPr="00430BD1">
              <w:rPr>
                <w:rFonts w:asciiTheme="minorHAnsi" w:eastAsia="TimesNewRomanPSMT" w:hAnsiTheme="minorHAnsi" w:cstheme="minorHAnsi"/>
                <w:highlight w:val="yellow"/>
                <w:lang w:val="it-IT"/>
              </w:rPr>
              <w:t>4.2 per informazioni sull’uso pediatrico).</w:t>
            </w:r>
          </w:p>
        </w:tc>
        <w:tc>
          <w:tcPr>
            <w:tcW w:w="7230" w:type="dxa"/>
          </w:tcPr>
          <w:p w14:paraId="699957FE" w14:textId="77777777" w:rsidR="00DB1028" w:rsidRPr="00301495" w:rsidRDefault="00DB1028" w:rsidP="00DB1028">
            <w:pPr>
              <w:pStyle w:val="Default"/>
              <w:rPr>
                <w:rFonts w:asciiTheme="minorHAnsi" w:hAnsiTheme="minorHAnsi" w:cstheme="minorHAnsi"/>
                <w:sz w:val="20"/>
                <w:szCs w:val="20"/>
                <w:u w:val="single"/>
              </w:rPr>
            </w:pPr>
            <w:r w:rsidRPr="00301495">
              <w:rPr>
                <w:rFonts w:asciiTheme="minorHAnsi" w:hAnsiTheme="minorHAnsi" w:cstheme="minorHAnsi"/>
                <w:sz w:val="20"/>
                <w:szCs w:val="20"/>
                <w:u w:val="single"/>
              </w:rPr>
              <w:t xml:space="preserve">Popolazione pediatrica </w:t>
            </w:r>
          </w:p>
          <w:p w14:paraId="3AD1A721" w14:textId="77777777" w:rsidR="00DB1028" w:rsidRPr="00430BD1" w:rsidRDefault="00DB1028" w:rsidP="00DB1028">
            <w:pPr>
              <w:pStyle w:val="Default"/>
              <w:rPr>
                <w:rFonts w:asciiTheme="minorHAnsi" w:hAnsiTheme="minorHAnsi" w:cstheme="minorHAnsi"/>
                <w:b/>
                <w:bCs/>
                <w:sz w:val="20"/>
                <w:szCs w:val="20"/>
              </w:rPr>
            </w:pPr>
            <w:r w:rsidRPr="00430BD1">
              <w:rPr>
                <w:rFonts w:asciiTheme="minorHAnsi" w:hAnsiTheme="minorHAnsi" w:cstheme="minorHAnsi"/>
                <w:b/>
                <w:bCs/>
                <w:sz w:val="20"/>
                <w:szCs w:val="20"/>
              </w:rPr>
              <w:t xml:space="preserve">Uno studio di fase II (C2202, BIANCA) è stato condotto su 33 pazienti pediatrici e giovani adulti con linfoma non-Hodgkin (NHL) a cellule B mature in recidiva o refrattario infusi con </w:t>
            </w:r>
            <w:proofErr w:type="spellStart"/>
            <w:r w:rsidRPr="00430BD1">
              <w:rPr>
                <w:rFonts w:asciiTheme="minorHAnsi" w:hAnsiTheme="minorHAnsi" w:cstheme="minorHAnsi"/>
                <w:b/>
                <w:bCs/>
                <w:sz w:val="20"/>
                <w:szCs w:val="20"/>
              </w:rPr>
              <w:t>tisagenlecleucel</w:t>
            </w:r>
            <w:proofErr w:type="spellEnd"/>
            <w:r w:rsidRPr="00430BD1">
              <w:rPr>
                <w:rFonts w:asciiTheme="minorHAnsi" w:hAnsiTheme="minorHAnsi" w:cstheme="minorHAnsi"/>
                <w:b/>
                <w:bCs/>
                <w:sz w:val="20"/>
                <w:szCs w:val="20"/>
              </w:rPr>
              <w:t xml:space="preserve">. Dei 33 pazienti infusi con </w:t>
            </w:r>
            <w:proofErr w:type="spellStart"/>
            <w:r w:rsidRPr="00430BD1">
              <w:rPr>
                <w:rFonts w:asciiTheme="minorHAnsi" w:hAnsiTheme="minorHAnsi" w:cstheme="minorHAnsi"/>
                <w:b/>
                <w:bCs/>
                <w:sz w:val="20"/>
                <w:szCs w:val="20"/>
              </w:rPr>
              <w:t>tisagenlecleucel</w:t>
            </w:r>
            <w:proofErr w:type="spellEnd"/>
            <w:r w:rsidRPr="00430BD1">
              <w:rPr>
                <w:rFonts w:asciiTheme="minorHAnsi" w:hAnsiTheme="minorHAnsi" w:cstheme="minorHAnsi"/>
                <w:b/>
                <w:bCs/>
                <w:sz w:val="20"/>
                <w:szCs w:val="20"/>
              </w:rPr>
              <w:t xml:space="preserve">, 28 pazienti (24 pazienti di età compresa tra 3 e 17 anni e 4 pazienti di età compresa tra 20 e 22 anni) avevano una malattia misurabile prima dell’infusione e sono inclusi nel gruppo per l’analisi di efficacia (EAS). </w:t>
            </w:r>
          </w:p>
          <w:p w14:paraId="1805807F" w14:textId="77777777" w:rsidR="00DB1028" w:rsidRPr="00430BD1" w:rsidRDefault="00DB1028" w:rsidP="00DB1028">
            <w:pPr>
              <w:pStyle w:val="Default"/>
              <w:rPr>
                <w:rFonts w:asciiTheme="minorHAnsi" w:hAnsiTheme="minorHAnsi" w:cstheme="minorHAnsi"/>
                <w:b/>
                <w:bCs/>
                <w:sz w:val="20"/>
                <w:szCs w:val="20"/>
              </w:rPr>
            </w:pPr>
            <w:r w:rsidRPr="00430BD1">
              <w:rPr>
                <w:rFonts w:asciiTheme="minorHAnsi" w:hAnsiTheme="minorHAnsi" w:cstheme="minorHAnsi"/>
                <w:b/>
                <w:bCs/>
                <w:sz w:val="20"/>
                <w:szCs w:val="20"/>
              </w:rPr>
              <w:t xml:space="preserve">L’EAS includeva pazienti con linfoma di </w:t>
            </w:r>
            <w:proofErr w:type="spellStart"/>
            <w:r w:rsidRPr="00430BD1">
              <w:rPr>
                <w:rFonts w:asciiTheme="minorHAnsi" w:hAnsiTheme="minorHAnsi" w:cstheme="minorHAnsi"/>
                <w:b/>
                <w:bCs/>
                <w:sz w:val="20"/>
                <w:szCs w:val="20"/>
              </w:rPr>
              <w:t>Burkitt</w:t>
            </w:r>
            <w:proofErr w:type="spellEnd"/>
            <w:r w:rsidRPr="00430BD1">
              <w:rPr>
                <w:rFonts w:asciiTheme="minorHAnsi" w:hAnsiTheme="minorHAnsi" w:cstheme="minorHAnsi"/>
                <w:b/>
                <w:bCs/>
                <w:sz w:val="20"/>
                <w:szCs w:val="20"/>
              </w:rPr>
              <w:t xml:space="preserve"> (n=15), linfoma diffuso a grandi cellule B (n=8), linfoma primitivo del mediastino a cellule B (n=3), linfoma della zona grigia (n=1) e linfoma ad alto grado con riarrangiamenti MYC e BCL2 (n=1). Tra questi pazienti, l’età mediana era di 14,0 anni (intervallo: da 3 a 22), 9 (32,1%) erano femmine e 19 (67,9%) erano maschi. Il numero mediano di precedenti linee di </w:t>
            </w:r>
            <w:r w:rsidRPr="00430BD1">
              <w:rPr>
                <w:rFonts w:asciiTheme="minorHAnsi" w:hAnsiTheme="minorHAnsi" w:cstheme="minorHAnsi"/>
                <w:b/>
                <w:bCs/>
                <w:sz w:val="20"/>
                <w:szCs w:val="20"/>
              </w:rPr>
              <w:lastRenderedPageBreak/>
              <w:t xml:space="preserve">terapia era 1 (intervallo: 1-3), il 17,9% dei pazienti aveva ricevuto un precedente trapianto di cellule staminali ematopoietiche. Tutti i pazienti tranne uno (96,4%) hanno ricevuto una chemioterapia ponte in attesa di </w:t>
            </w:r>
            <w:proofErr w:type="spellStart"/>
            <w:r w:rsidRPr="00430BD1">
              <w:rPr>
                <w:rFonts w:asciiTheme="minorHAnsi" w:hAnsiTheme="minorHAnsi" w:cstheme="minorHAnsi"/>
                <w:b/>
                <w:bCs/>
                <w:sz w:val="20"/>
                <w:szCs w:val="20"/>
              </w:rPr>
              <w:t>tisagenlecleucel</w:t>
            </w:r>
            <w:proofErr w:type="spellEnd"/>
            <w:r w:rsidRPr="00430BD1">
              <w:rPr>
                <w:rFonts w:asciiTheme="minorHAnsi" w:hAnsiTheme="minorHAnsi" w:cstheme="minorHAnsi"/>
                <w:b/>
                <w:bCs/>
                <w:sz w:val="20"/>
                <w:szCs w:val="20"/>
              </w:rPr>
              <w:t xml:space="preserve">. I pazienti hanno ricevuto la dose di </w:t>
            </w:r>
            <w:proofErr w:type="spellStart"/>
            <w:r w:rsidRPr="00430BD1">
              <w:rPr>
                <w:rFonts w:asciiTheme="minorHAnsi" w:hAnsiTheme="minorHAnsi" w:cstheme="minorHAnsi"/>
                <w:b/>
                <w:bCs/>
                <w:sz w:val="20"/>
                <w:szCs w:val="20"/>
              </w:rPr>
              <w:t>tisagenlecleucel</w:t>
            </w:r>
            <w:proofErr w:type="spellEnd"/>
            <w:r w:rsidRPr="00430BD1">
              <w:rPr>
                <w:rFonts w:asciiTheme="minorHAnsi" w:hAnsiTheme="minorHAnsi" w:cstheme="minorHAnsi"/>
                <w:b/>
                <w:bCs/>
                <w:sz w:val="20"/>
                <w:szCs w:val="20"/>
              </w:rPr>
              <w:t xml:space="preserve"> approvata per l’indicazione LLA pediatrica. </w:t>
            </w:r>
          </w:p>
          <w:p w14:paraId="261F4402" w14:textId="77777777" w:rsidR="00DB1028" w:rsidRPr="00430BD1" w:rsidRDefault="00DB1028" w:rsidP="00DB1028">
            <w:pPr>
              <w:pStyle w:val="Default"/>
              <w:rPr>
                <w:rFonts w:asciiTheme="minorHAnsi" w:hAnsiTheme="minorHAnsi" w:cstheme="minorHAnsi"/>
                <w:b/>
                <w:bCs/>
                <w:sz w:val="20"/>
                <w:szCs w:val="20"/>
              </w:rPr>
            </w:pPr>
            <w:r w:rsidRPr="00430BD1">
              <w:rPr>
                <w:rFonts w:asciiTheme="minorHAnsi" w:hAnsiTheme="minorHAnsi" w:cstheme="minorHAnsi"/>
                <w:b/>
                <w:bCs/>
                <w:sz w:val="20"/>
                <w:szCs w:val="20"/>
              </w:rPr>
              <w:t xml:space="preserve">I risultati dell’EAS hanno mostrato un tasso di ORR del 32,1% (95% IC: 15,9, 52,4), con un tasso di CR del 7,1%. L’analisi dei sottogruppi ha indicato un tasso di ORR inferiore nei pazienti con linfoma di </w:t>
            </w:r>
            <w:proofErr w:type="spellStart"/>
            <w:r w:rsidRPr="00430BD1">
              <w:rPr>
                <w:rFonts w:asciiTheme="minorHAnsi" w:hAnsiTheme="minorHAnsi" w:cstheme="minorHAnsi"/>
                <w:b/>
                <w:bCs/>
                <w:sz w:val="20"/>
                <w:szCs w:val="20"/>
              </w:rPr>
              <w:t>Burkitt</w:t>
            </w:r>
            <w:proofErr w:type="spellEnd"/>
            <w:r w:rsidRPr="00430BD1">
              <w:rPr>
                <w:rFonts w:asciiTheme="minorHAnsi" w:hAnsiTheme="minorHAnsi" w:cstheme="minorHAnsi"/>
                <w:b/>
                <w:bCs/>
                <w:sz w:val="20"/>
                <w:szCs w:val="20"/>
              </w:rPr>
              <w:t xml:space="preserve"> (20%, 95% IC: 4,3, 48,1) rispetto ai pazienti con linfoma diffuso a grandi cellule B (37,5%, 95% IC: 8,5, 75,5) o altre diagnosi incluse nello studio (60,0%, 95% IC: 14,7, 94,7). </w:t>
            </w:r>
          </w:p>
          <w:p w14:paraId="1880B93A" w14:textId="77777777" w:rsidR="00DB1028" w:rsidRPr="00430BD1" w:rsidRDefault="00DB1028" w:rsidP="00DB1028">
            <w:pPr>
              <w:pStyle w:val="Default"/>
              <w:rPr>
                <w:rFonts w:asciiTheme="minorHAnsi" w:hAnsiTheme="minorHAnsi" w:cstheme="minorHAnsi"/>
                <w:b/>
                <w:bCs/>
                <w:sz w:val="20"/>
                <w:szCs w:val="20"/>
              </w:rPr>
            </w:pPr>
            <w:r w:rsidRPr="00430BD1">
              <w:rPr>
                <w:rFonts w:asciiTheme="minorHAnsi" w:hAnsiTheme="minorHAnsi" w:cstheme="minorHAnsi"/>
                <w:b/>
                <w:bCs/>
                <w:sz w:val="20"/>
                <w:szCs w:val="20"/>
              </w:rPr>
              <w:t xml:space="preserve">Nello studio C2202 l’esperienza di sicurezza complessiva nei pazienti pediatrici e giovani adulti con NHL CD19+ a cellule B mature r/r infusi con </w:t>
            </w:r>
            <w:proofErr w:type="spellStart"/>
            <w:r w:rsidRPr="00430BD1">
              <w:rPr>
                <w:rFonts w:asciiTheme="minorHAnsi" w:hAnsiTheme="minorHAnsi" w:cstheme="minorHAnsi"/>
                <w:b/>
                <w:bCs/>
                <w:sz w:val="20"/>
                <w:szCs w:val="20"/>
              </w:rPr>
              <w:t>tisagenlecleucel</w:t>
            </w:r>
            <w:proofErr w:type="spellEnd"/>
            <w:r w:rsidRPr="00430BD1">
              <w:rPr>
                <w:rFonts w:asciiTheme="minorHAnsi" w:hAnsiTheme="minorHAnsi" w:cstheme="minorHAnsi"/>
                <w:b/>
                <w:bCs/>
                <w:sz w:val="20"/>
                <w:szCs w:val="20"/>
              </w:rPr>
              <w:t xml:space="preserve"> è stata coerente con il profilo di sicurezza noto di </w:t>
            </w:r>
            <w:proofErr w:type="spellStart"/>
            <w:r w:rsidRPr="00430BD1">
              <w:rPr>
                <w:rFonts w:asciiTheme="minorHAnsi" w:hAnsiTheme="minorHAnsi" w:cstheme="minorHAnsi"/>
                <w:b/>
                <w:bCs/>
                <w:sz w:val="20"/>
                <w:szCs w:val="20"/>
              </w:rPr>
              <w:t>tisagenlecleucel</w:t>
            </w:r>
            <w:proofErr w:type="spellEnd"/>
            <w:r w:rsidRPr="00430BD1">
              <w:rPr>
                <w:rFonts w:asciiTheme="minorHAnsi" w:hAnsiTheme="minorHAnsi" w:cstheme="minorHAnsi"/>
                <w:b/>
                <w:bCs/>
                <w:sz w:val="20"/>
                <w:szCs w:val="20"/>
              </w:rPr>
              <w:t xml:space="preserve">. Non sono stati osservati nuovi segnali di sicurezza. </w:t>
            </w:r>
          </w:p>
          <w:p w14:paraId="7E1C4A77" w14:textId="1D4E97E6" w:rsidR="0076321A" w:rsidRPr="00DB1028" w:rsidRDefault="00DB1028" w:rsidP="00DB1028">
            <w:pPr>
              <w:pStyle w:val="Default"/>
              <w:rPr>
                <w:rFonts w:asciiTheme="minorHAnsi" w:hAnsiTheme="minorHAnsi" w:cstheme="minorHAnsi"/>
                <w:i/>
                <w:iCs/>
                <w:sz w:val="20"/>
                <w:szCs w:val="20"/>
              </w:rPr>
            </w:pPr>
            <w:r w:rsidRPr="00430BD1">
              <w:rPr>
                <w:rFonts w:asciiTheme="minorHAnsi" w:hAnsiTheme="minorHAnsi" w:cstheme="minorHAnsi"/>
                <w:b/>
                <w:bCs/>
                <w:sz w:val="20"/>
                <w:szCs w:val="20"/>
              </w:rPr>
              <w:t xml:space="preserve">L’Agenzia europea dei medicinali ha rinviato l’obbligo di presentare i risultati degli studi con </w:t>
            </w:r>
            <w:proofErr w:type="spellStart"/>
            <w:r w:rsidRPr="00430BD1">
              <w:rPr>
                <w:rFonts w:asciiTheme="minorHAnsi" w:hAnsiTheme="minorHAnsi" w:cstheme="minorHAnsi"/>
                <w:b/>
                <w:bCs/>
                <w:sz w:val="20"/>
                <w:szCs w:val="20"/>
              </w:rPr>
              <w:t>Kymriah</w:t>
            </w:r>
            <w:proofErr w:type="spellEnd"/>
            <w:r w:rsidRPr="00430BD1">
              <w:rPr>
                <w:rFonts w:asciiTheme="minorHAnsi" w:hAnsiTheme="minorHAnsi" w:cstheme="minorHAnsi"/>
                <w:b/>
                <w:bCs/>
                <w:sz w:val="20"/>
                <w:szCs w:val="20"/>
              </w:rPr>
              <w:t xml:space="preserve"> in uno o più sottogruppi della popolazione pediatrica per il trattamento del linfoma linfoblastico a cellule B (vedere paragrafo 4.2 per informazioni sull’uso pediatrico).</w:t>
            </w:r>
          </w:p>
        </w:tc>
      </w:tr>
      <w:tr w:rsidR="00430BD1" w:rsidRPr="00DB1028" w14:paraId="73C552AC" w14:textId="77777777" w:rsidTr="005475D3">
        <w:tc>
          <w:tcPr>
            <w:tcW w:w="14176" w:type="dxa"/>
            <w:gridSpan w:val="2"/>
          </w:tcPr>
          <w:p w14:paraId="245F36C8" w14:textId="44C023BB" w:rsidR="00430BD1" w:rsidRPr="00430BD1" w:rsidRDefault="00430BD1" w:rsidP="00430BD1">
            <w:pPr>
              <w:pStyle w:val="Default"/>
              <w:jc w:val="center"/>
              <w:rPr>
                <w:rFonts w:asciiTheme="minorHAnsi" w:hAnsiTheme="minorHAnsi" w:cstheme="minorHAnsi"/>
                <w:color w:val="FF0000"/>
                <w:sz w:val="20"/>
                <w:szCs w:val="20"/>
              </w:rPr>
            </w:pPr>
            <w:proofErr w:type="spellStart"/>
            <w:r w:rsidRPr="00430BD1">
              <w:rPr>
                <w:rFonts w:asciiTheme="minorHAnsi" w:hAnsiTheme="minorHAnsi" w:cstheme="minorHAnsi"/>
                <w:color w:val="FF0000"/>
              </w:rPr>
              <w:lastRenderedPageBreak/>
              <w:t>Annex</w:t>
            </w:r>
            <w:proofErr w:type="spellEnd"/>
            <w:r w:rsidRPr="00430BD1">
              <w:rPr>
                <w:rFonts w:asciiTheme="minorHAnsi" w:hAnsiTheme="minorHAnsi" w:cstheme="minorHAnsi"/>
                <w:color w:val="FF0000"/>
              </w:rPr>
              <w:t xml:space="preserve"> II</w:t>
            </w:r>
          </w:p>
        </w:tc>
      </w:tr>
      <w:tr w:rsidR="00123CE0" w:rsidRPr="00DB1028" w14:paraId="3FD82FBE" w14:textId="77777777" w:rsidTr="00E04950">
        <w:tc>
          <w:tcPr>
            <w:tcW w:w="6946" w:type="dxa"/>
          </w:tcPr>
          <w:p w14:paraId="133DA86D" w14:textId="0F0D7447" w:rsidR="0076321A" w:rsidRPr="00DB1028" w:rsidRDefault="009B4039" w:rsidP="005C759A">
            <w:pPr>
              <w:autoSpaceDE w:val="0"/>
              <w:autoSpaceDN w:val="0"/>
              <w:adjustRightInd w:val="0"/>
              <w:rPr>
                <w:rFonts w:asciiTheme="minorHAnsi" w:hAnsiTheme="minorHAnsi" w:cstheme="minorHAnsi"/>
                <w:i/>
                <w:iCs/>
                <w:lang w:val="it-IT"/>
              </w:rPr>
            </w:pPr>
            <w:r>
              <w:rPr>
                <w:noProof/>
              </w:rPr>
              <w:drawing>
                <wp:inline distT="0" distB="0" distL="0" distR="0" wp14:anchorId="12328131" wp14:editId="371DED11">
                  <wp:extent cx="2959100" cy="3676457"/>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79254" cy="3701497"/>
                          </a:xfrm>
                          <a:prstGeom prst="rect">
                            <a:avLst/>
                          </a:prstGeom>
                        </pic:spPr>
                      </pic:pic>
                    </a:graphicData>
                  </a:graphic>
                </wp:inline>
              </w:drawing>
            </w:r>
          </w:p>
        </w:tc>
        <w:tc>
          <w:tcPr>
            <w:tcW w:w="7230" w:type="dxa"/>
          </w:tcPr>
          <w:p w14:paraId="3F732827" w14:textId="1DED477C" w:rsidR="0076321A" w:rsidRPr="00DB1028" w:rsidRDefault="00E56E12" w:rsidP="0076321A">
            <w:pPr>
              <w:pStyle w:val="Default"/>
              <w:rPr>
                <w:rFonts w:asciiTheme="minorHAnsi" w:hAnsiTheme="minorHAnsi" w:cstheme="minorHAnsi"/>
                <w:i/>
                <w:iCs/>
                <w:sz w:val="20"/>
                <w:szCs w:val="20"/>
              </w:rPr>
            </w:pPr>
            <w:r>
              <w:rPr>
                <w:noProof/>
              </w:rPr>
              <w:drawing>
                <wp:inline distT="0" distB="0" distL="0" distR="0" wp14:anchorId="32DC1805" wp14:editId="3DF63596">
                  <wp:extent cx="3098800" cy="3010432"/>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14425" cy="3025612"/>
                          </a:xfrm>
                          <a:prstGeom prst="rect">
                            <a:avLst/>
                          </a:prstGeom>
                        </pic:spPr>
                      </pic:pic>
                    </a:graphicData>
                  </a:graphic>
                </wp:inline>
              </w:drawing>
            </w:r>
          </w:p>
        </w:tc>
      </w:tr>
    </w:tbl>
    <w:p w14:paraId="359DDC38" w14:textId="77777777" w:rsidR="00A96B12" w:rsidRPr="006D0308" w:rsidRDefault="00A96B12" w:rsidP="00430BD1">
      <w:pPr>
        <w:rPr>
          <w:lang w:val="it-IT"/>
        </w:rPr>
      </w:pPr>
    </w:p>
    <w:sectPr w:rsidR="00A96B12" w:rsidRPr="006D0308" w:rsidSect="00A01AF5">
      <w:pgSz w:w="15840" w:h="12240" w:orient="landscape"/>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165F11"/>
    <w:rsid w:val="00000D33"/>
    <w:rsid w:val="0000106A"/>
    <w:rsid w:val="00003CE3"/>
    <w:rsid w:val="00016506"/>
    <w:rsid w:val="00026175"/>
    <w:rsid w:val="0003556C"/>
    <w:rsid w:val="00037B3F"/>
    <w:rsid w:val="000431A8"/>
    <w:rsid w:val="0004678D"/>
    <w:rsid w:val="000472B0"/>
    <w:rsid w:val="00052253"/>
    <w:rsid w:val="00053641"/>
    <w:rsid w:val="000600FA"/>
    <w:rsid w:val="00060F2B"/>
    <w:rsid w:val="00061AD3"/>
    <w:rsid w:val="00061D49"/>
    <w:rsid w:val="00063860"/>
    <w:rsid w:val="00070861"/>
    <w:rsid w:val="00073CAB"/>
    <w:rsid w:val="000743A9"/>
    <w:rsid w:val="0007757D"/>
    <w:rsid w:val="0007787A"/>
    <w:rsid w:val="00080556"/>
    <w:rsid w:val="00081A70"/>
    <w:rsid w:val="0009244A"/>
    <w:rsid w:val="00095575"/>
    <w:rsid w:val="000A195E"/>
    <w:rsid w:val="000A3FCB"/>
    <w:rsid w:val="000A7C6D"/>
    <w:rsid w:val="000B3B22"/>
    <w:rsid w:val="000B5F0C"/>
    <w:rsid w:val="000C27BA"/>
    <w:rsid w:val="000D239C"/>
    <w:rsid w:val="000D4B6D"/>
    <w:rsid w:val="000E3E9D"/>
    <w:rsid w:val="000E7580"/>
    <w:rsid w:val="000F1D7B"/>
    <w:rsid w:val="001025B4"/>
    <w:rsid w:val="0010456B"/>
    <w:rsid w:val="00123CE0"/>
    <w:rsid w:val="001362EF"/>
    <w:rsid w:val="00144A7A"/>
    <w:rsid w:val="0015112E"/>
    <w:rsid w:val="00165F11"/>
    <w:rsid w:val="00166E6A"/>
    <w:rsid w:val="001731E7"/>
    <w:rsid w:val="00181878"/>
    <w:rsid w:val="00183A9C"/>
    <w:rsid w:val="00192294"/>
    <w:rsid w:val="00195A4D"/>
    <w:rsid w:val="001A1B2C"/>
    <w:rsid w:val="001B1095"/>
    <w:rsid w:val="001B2ABE"/>
    <w:rsid w:val="001C2185"/>
    <w:rsid w:val="001C449E"/>
    <w:rsid w:val="001C4E46"/>
    <w:rsid w:val="001D1A4F"/>
    <w:rsid w:val="001D2ED8"/>
    <w:rsid w:val="001E5AE9"/>
    <w:rsid w:val="001E7959"/>
    <w:rsid w:val="00211F9E"/>
    <w:rsid w:val="00222807"/>
    <w:rsid w:val="00227875"/>
    <w:rsid w:val="00227EAB"/>
    <w:rsid w:val="0023373A"/>
    <w:rsid w:val="00257070"/>
    <w:rsid w:val="002579B4"/>
    <w:rsid w:val="00265870"/>
    <w:rsid w:val="00267D7B"/>
    <w:rsid w:val="0027100E"/>
    <w:rsid w:val="002841F3"/>
    <w:rsid w:val="002864CB"/>
    <w:rsid w:val="00286630"/>
    <w:rsid w:val="002B02E0"/>
    <w:rsid w:val="002C192C"/>
    <w:rsid w:val="002C1AAB"/>
    <w:rsid w:val="002C53F9"/>
    <w:rsid w:val="002C6238"/>
    <w:rsid w:val="002D07C6"/>
    <w:rsid w:val="002D217F"/>
    <w:rsid w:val="002E1FEF"/>
    <w:rsid w:val="002E53F2"/>
    <w:rsid w:val="002E6701"/>
    <w:rsid w:val="002E6C69"/>
    <w:rsid w:val="002E76C9"/>
    <w:rsid w:val="002F4D73"/>
    <w:rsid w:val="002F4F1A"/>
    <w:rsid w:val="00300354"/>
    <w:rsid w:val="00301495"/>
    <w:rsid w:val="0030656D"/>
    <w:rsid w:val="00307A01"/>
    <w:rsid w:val="00320223"/>
    <w:rsid w:val="0032045D"/>
    <w:rsid w:val="00320603"/>
    <w:rsid w:val="00320A47"/>
    <w:rsid w:val="00323517"/>
    <w:rsid w:val="00324BB4"/>
    <w:rsid w:val="00325884"/>
    <w:rsid w:val="00335BF8"/>
    <w:rsid w:val="0034146A"/>
    <w:rsid w:val="00341D4D"/>
    <w:rsid w:val="0034404C"/>
    <w:rsid w:val="00353830"/>
    <w:rsid w:val="00355876"/>
    <w:rsid w:val="00355D14"/>
    <w:rsid w:val="0035783A"/>
    <w:rsid w:val="00361DEE"/>
    <w:rsid w:val="003669C6"/>
    <w:rsid w:val="00367682"/>
    <w:rsid w:val="003721AF"/>
    <w:rsid w:val="00373F22"/>
    <w:rsid w:val="003747EA"/>
    <w:rsid w:val="00380719"/>
    <w:rsid w:val="003856BB"/>
    <w:rsid w:val="00395871"/>
    <w:rsid w:val="003A3D5A"/>
    <w:rsid w:val="003B4A00"/>
    <w:rsid w:val="003B5094"/>
    <w:rsid w:val="003C18A9"/>
    <w:rsid w:val="003C3CEE"/>
    <w:rsid w:val="003D46BF"/>
    <w:rsid w:val="003D54E2"/>
    <w:rsid w:val="003E3FF9"/>
    <w:rsid w:val="003E7D8A"/>
    <w:rsid w:val="003F5B45"/>
    <w:rsid w:val="00400320"/>
    <w:rsid w:val="00410AA4"/>
    <w:rsid w:val="00430BD1"/>
    <w:rsid w:val="004346E3"/>
    <w:rsid w:val="004461B4"/>
    <w:rsid w:val="00456A70"/>
    <w:rsid w:val="0046141B"/>
    <w:rsid w:val="00465AE9"/>
    <w:rsid w:val="004727E9"/>
    <w:rsid w:val="00473BAB"/>
    <w:rsid w:val="00473C21"/>
    <w:rsid w:val="0048643D"/>
    <w:rsid w:val="00490683"/>
    <w:rsid w:val="00490C72"/>
    <w:rsid w:val="0049342F"/>
    <w:rsid w:val="00494B26"/>
    <w:rsid w:val="00497F1A"/>
    <w:rsid w:val="004A05F1"/>
    <w:rsid w:val="004A10F2"/>
    <w:rsid w:val="004B0BC8"/>
    <w:rsid w:val="004B764A"/>
    <w:rsid w:val="004C60CC"/>
    <w:rsid w:val="004C6173"/>
    <w:rsid w:val="004C6D67"/>
    <w:rsid w:val="004D1C70"/>
    <w:rsid w:val="004E1193"/>
    <w:rsid w:val="004E6CEA"/>
    <w:rsid w:val="004F3A97"/>
    <w:rsid w:val="00503954"/>
    <w:rsid w:val="00514839"/>
    <w:rsid w:val="00515290"/>
    <w:rsid w:val="00515781"/>
    <w:rsid w:val="00520B36"/>
    <w:rsid w:val="00520D39"/>
    <w:rsid w:val="005213BF"/>
    <w:rsid w:val="00524510"/>
    <w:rsid w:val="005249D0"/>
    <w:rsid w:val="00536443"/>
    <w:rsid w:val="0054104A"/>
    <w:rsid w:val="0054137D"/>
    <w:rsid w:val="00542DE7"/>
    <w:rsid w:val="0054379F"/>
    <w:rsid w:val="00547DFA"/>
    <w:rsid w:val="00553AB5"/>
    <w:rsid w:val="00562BDC"/>
    <w:rsid w:val="00562C69"/>
    <w:rsid w:val="0057088E"/>
    <w:rsid w:val="00585B46"/>
    <w:rsid w:val="00593F64"/>
    <w:rsid w:val="0059626E"/>
    <w:rsid w:val="005A14E5"/>
    <w:rsid w:val="005C4F9A"/>
    <w:rsid w:val="005C5579"/>
    <w:rsid w:val="005C759A"/>
    <w:rsid w:val="005D4BF5"/>
    <w:rsid w:val="005E0C77"/>
    <w:rsid w:val="005E2420"/>
    <w:rsid w:val="005E6C8A"/>
    <w:rsid w:val="005E7D34"/>
    <w:rsid w:val="005F3152"/>
    <w:rsid w:val="005F6AEC"/>
    <w:rsid w:val="00602632"/>
    <w:rsid w:val="00641BC5"/>
    <w:rsid w:val="00652F9C"/>
    <w:rsid w:val="0065403F"/>
    <w:rsid w:val="0066635B"/>
    <w:rsid w:val="006664DA"/>
    <w:rsid w:val="00672C68"/>
    <w:rsid w:val="006744C1"/>
    <w:rsid w:val="00684352"/>
    <w:rsid w:val="00685FC9"/>
    <w:rsid w:val="0068794E"/>
    <w:rsid w:val="00687A17"/>
    <w:rsid w:val="00690643"/>
    <w:rsid w:val="006946B8"/>
    <w:rsid w:val="00694789"/>
    <w:rsid w:val="00696DA3"/>
    <w:rsid w:val="006975A8"/>
    <w:rsid w:val="006A0BEB"/>
    <w:rsid w:val="006A3183"/>
    <w:rsid w:val="006A578A"/>
    <w:rsid w:val="006A7303"/>
    <w:rsid w:val="006B5CB3"/>
    <w:rsid w:val="006B67B1"/>
    <w:rsid w:val="006C06E5"/>
    <w:rsid w:val="006C4B27"/>
    <w:rsid w:val="006C654A"/>
    <w:rsid w:val="006C7AAC"/>
    <w:rsid w:val="006D0308"/>
    <w:rsid w:val="006E0E1A"/>
    <w:rsid w:val="006E1D61"/>
    <w:rsid w:val="006E4364"/>
    <w:rsid w:val="006F3C6D"/>
    <w:rsid w:val="006F4918"/>
    <w:rsid w:val="00700737"/>
    <w:rsid w:val="00703294"/>
    <w:rsid w:val="0070329B"/>
    <w:rsid w:val="00704223"/>
    <w:rsid w:val="00704F40"/>
    <w:rsid w:val="007062FB"/>
    <w:rsid w:val="007075D7"/>
    <w:rsid w:val="00727EE5"/>
    <w:rsid w:val="00737147"/>
    <w:rsid w:val="00745023"/>
    <w:rsid w:val="0075711D"/>
    <w:rsid w:val="0076321A"/>
    <w:rsid w:val="00763A61"/>
    <w:rsid w:val="007710CE"/>
    <w:rsid w:val="00772AA4"/>
    <w:rsid w:val="00776287"/>
    <w:rsid w:val="00784A13"/>
    <w:rsid w:val="0079103E"/>
    <w:rsid w:val="00793436"/>
    <w:rsid w:val="00797E96"/>
    <w:rsid w:val="007A2ECF"/>
    <w:rsid w:val="007A3E33"/>
    <w:rsid w:val="007A5391"/>
    <w:rsid w:val="007A778E"/>
    <w:rsid w:val="007A79BD"/>
    <w:rsid w:val="007C2CDF"/>
    <w:rsid w:val="007C54AE"/>
    <w:rsid w:val="007C74D3"/>
    <w:rsid w:val="007D7C3C"/>
    <w:rsid w:val="007E4C6F"/>
    <w:rsid w:val="007F0CC5"/>
    <w:rsid w:val="007F14F3"/>
    <w:rsid w:val="007F2C38"/>
    <w:rsid w:val="007F2E58"/>
    <w:rsid w:val="0080162B"/>
    <w:rsid w:val="0080252B"/>
    <w:rsid w:val="00806CC7"/>
    <w:rsid w:val="00822344"/>
    <w:rsid w:val="008279ED"/>
    <w:rsid w:val="00831DA8"/>
    <w:rsid w:val="00836CD6"/>
    <w:rsid w:val="008415EC"/>
    <w:rsid w:val="00846214"/>
    <w:rsid w:val="00850048"/>
    <w:rsid w:val="0085317D"/>
    <w:rsid w:val="008575B8"/>
    <w:rsid w:val="00862DB9"/>
    <w:rsid w:val="00862EBA"/>
    <w:rsid w:val="008668B6"/>
    <w:rsid w:val="00873B1A"/>
    <w:rsid w:val="00874CE2"/>
    <w:rsid w:val="008779A4"/>
    <w:rsid w:val="00880059"/>
    <w:rsid w:val="00881725"/>
    <w:rsid w:val="00893BF4"/>
    <w:rsid w:val="008A69DE"/>
    <w:rsid w:val="008B698E"/>
    <w:rsid w:val="008D1266"/>
    <w:rsid w:val="008E1D56"/>
    <w:rsid w:val="008F2468"/>
    <w:rsid w:val="00901D97"/>
    <w:rsid w:val="00902FBC"/>
    <w:rsid w:val="00906C0C"/>
    <w:rsid w:val="00916982"/>
    <w:rsid w:val="009305CE"/>
    <w:rsid w:val="00931A03"/>
    <w:rsid w:val="00941F13"/>
    <w:rsid w:val="0095504B"/>
    <w:rsid w:val="00956A70"/>
    <w:rsid w:val="00967714"/>
    <w:rsid w:val="00967BB1"/>
    <w:rsid w:val="00967F76"/>
    <w:rsid w:val="00970A5E"/>
    <w:rsid w:val="00973B12"/>
    <w:rsid w:val="0097733C"/>
    <w:rsid w:val="009951C4"/>
    <w:rsid w:val="009962D7"/>
    <w:rsid w:val="009A40CB"/>
    <w:rsid w:val="009A43A6"/>
    <w:rsid w:val="009A5CEE"/>
    <w:rsid w:val="009B099A"/>
    <w:rsid w:val="009B30CB"/>
    <w:rsid w:val="009B4039"/>
    <w:rsid w:val="009B5F30"/>
    <w:rsid w:val="009C0DD1"/>
    <w:rsid w:val="009C2C9F"/>
    <w:rsid w:val="009C7C2D"/>
    <w:rsid w:val="009D0F4E"/>
    <w:rsid w:val="009D358C"/>
    <w:rsid w:val="009D732A"/>
    <w:rsid w:val="009F39F3"/>
    <w:rsid w:val="00A01AF5"/>
    <w:rsid w:val="00A068F9"/>
    <w:rsid w:val="00A13A0C"/>
    <w:rsid w:val="00A141DB"/>
    <w:rsid w:val="00A22A58"/>
    <w:rsid w:val="00A2469B"/>
    <w:rsid w:val="00A2709A"/>
    <w:rsid w:val="00A30894"/>
    <w:rsid w:val="00A359FA"/>
    <w:rsid w:val="00A44877"/>
    <w:rsid w:val="00A53064"/>
    <w:rsid w:val="00A560BB"/>
    <w:rsid w:val="00A57CED"/>
    <w:rsid w:val="00A637B4"/>
    <w:rsid w:val="00A8782B"/>
    <w:rsid w:val="00A9088D"/>
    <w:rsid w:val="00A96B12"/>
    <w:rsid w:val="00AA54E8"/>
    <w:rsid w:val="00AA5F84"/>
    <w:rsid w:val="00AB0A44"/>
    <w:rsid w:val="00AB4BC0"/>
    <w:rsid w:val="00AB7B72"/>
    <w:rsid w:val="00AC5582"/>
    <w:rsid w:val="00AC64AC"/>
    <w:rsid w:val="00AD2373"/>
    <w:rsid w:val="00AD51D4"/>
    <w:rsid w:val="00AD5EE3"/>
    <w:rsid w:val="00AE52F0"/>
    <w:rsid w:val="00AF3B46"/>
    <w:rsid w:val="00AF6822"/>
    <w:rsid w:val="00B02747"/>
    <w:rsid w:val="00B0380A"/>
    <w:rsid w:val="00B063DA"/>
    <w:rsid w:val="00B066D4"/>
    <w:rsid w:val="00B1181A"/>
    <w:rsid w:val="00B22D4D"/>
    <w:rsid w:val="00B27470"/>
    <w:rsid w:val="00B30A0D"/>
    <w:rsid w:val="00B31E25"/>
    <w:rsid w:val="00B37446"/>
    <w:rsid w:val="00B40538"/>
    <w:rsid w:val="00B42B2B"/>
    <w:rsid w:val="00B460A3"/>
    <w:rsid w:val="00B513AE"/>
    <w:rsid w:val="00B526D0"/>
    <w:rsid w:val="00B625C5"/>
    <w:rsid w:val="00B646DC"/>
    <w:rsid w:val="00B65638"/>
    <w:rsid w:val="00B67F89"/>
    <w:rsid w:val="00B742BD"/>
    <w:rsid w:val="00B81456"/>
    <w:rsid w:val="00B826FE"/>
    <w:rsid w:val="00BA0C64"/>
    <w:rsid w:val="00BA158F"/>
    <w:rsid w:val="00BA3C88"/>
    <w:rsid w:val="00BB3138"/>
    <w:rsid w:val="00BB59CC"/>
    <w:rsid w:val="00BC77CA"/>
    <w:rsid w:val="00BD35D1"/>
    <w:rsid w:val="00BD6A7A"/>
    <w:rsid w:val="00BE04C8"/>
    <w:rsid w:val="00BF3D8C"/>
    <w:rsid w:val="00C1061F"/>
    <w:rsid w:val="00C35E05"/>
    <w:rsid w:val="00C3735D"/>
    <w:rsid w:val="00C405CA"/>
    <w:rsid w:val="00C421AF"/>
    <w:rsid w:val="00C53F2C"/>
    <w:rsid w:val="00C60E89"/>
    <w:rsid w:val="00C63239"/>
    <w:rsid w:val="00C665BF"/>
    <w:rsid w:val="00C72064"/>
    <w:rsid w:val="00C77241"/>
    <w:rsid w:val="00C778D4"/>
    <w:rsid w:val="00C8049B"/>
    <w:rsid w:val="00C928F4"/>
    <w:rsid w:val="00C94294"/>
    <w:rsid w:val="00CA1138"/>
    <w:rsid w:val="00CA40E8"/>
    <w:rsid w:val="00CB1CB0"/>
    <w:rsid w:val="00CB2F12"/>
    <w:rsid w:val="00CD4B42"/>
    <w:rsid w:val="00CD6326"/>
    <w:rsid w:val="00CE0EDD"/>
    <w:rsid w:val="00CE43F6"/>
    <w:rsid w:val="00CF1E80"/>
    <w:rsid w:val="00D05545"/>
    <w:rsid w:val="00D065C6"/>
    <w:rsid w:val="00D06947"/>
    <w:rsid w:val="00D16473"/>
    <w:rsid w:val="00D208C6"/>
    <w:rsid w:val="00D244F2"/>
    <w:rsid w:val="00D26F00"/>
    <w:rsid w:val="00D32C67"/>
    <w:rsid w:val="00D351F1"/>
    <w:rsid w:val="00D434CB"/>
    <w:rsid w:val="00D527B8"/>
    <w:rsid w:val="00D54256"/>
    <w:rsid w:val="00D57BC6"/>
    <w:rsid w:val="00D65598"/>
    <w:rsid w:val="00D65E60"/>
    <w:rsid w:val="00D67197"/>
    <w:rsid w:val="00D70AB6"/>
    <w:rsid w:val="00D711DF"/>
    <w:rsid w:val="00D82A84"/>
    <w:rsid w:val="00D860DA"/>
    <w:rsid w:val="00DA668F"/>
    <w:rsid w:val="00DA6763"/>
    <w:rsid w:val="00DB1028"/>
    <w:rsid w:val="00DC71D5"/>
    <w:rsid w:val="00DD04D9"/>
    <w:rsid w:val="00DD3A66"/>
    <w:rsid w:val="00DD6826"/>
    <w:rsid w:val="00DE365E"/>
    <w:rsid w:val="00E04950"/>
    <w:rsid w:val="00E06837"/>
    <w:rsid w:val="00E15168"/>
    <w:rsid w:val="00E218C7"/>
    <w:rsid w:val="00E22AFB"/>
    <w:rsid w:val="00E25ED5"/>
    <w:rsid w:val="00E3285E"/>
    <w:rsid w:val="00E33B72"/>
    <w:rsid w:val="00E46320"/>
    <w:rsid w:val="00E514E6"/>
    <w:rsid w:val="00E51659"/>
    <w:rsid w:val="00E52A75"/>
    <w:rsid w:val="00E53F04"/>
    <w:rsid w:val="00E56E12"/>
    <w:rsid w:val="00E615D5"/>
    <w:rsid w:val="00E63168"/>
    <w:rsid w:val="00E65290"/>
    <w:rsid w:val="00E65972"/>
    <w:rsid w:val="00E731E0"/>
    <w:rsid w:val="00E818AE"/>
    <w:rsid w:val="00E81CC5"/>
    <w:rsid w:val="00E91D98"/>
    <w:rsid w:val="00E924CD"/>
    <w:rsid w:val="00E94199"/>
    <w:rsid w:val="00E95866"/>
    <w:rsid w:val="00EA4D27"/>
    <w:rsid w:val="00EA706C"/>
    <w:rsid w:val="00EB0844"/>
    <w:rsid w:val="00ED5C1B"/>
    <w:rsid w:val="00ED77C8"/>
    <w:rsid w:val="00EE31EE"/>
    <w:rsid w:val="00EE4C6D"/>
    <w:rsid w:val="00EE761F"/>
    <w:rsid w:val="00EF0C68"/>
    <w:rsid w:val="00F0122C"/>
    <w:rsid w:val="00F026D6"/>
    <w:rsid w:val="00F165A6"/>
    <w:rsid w:val="00F17581"/>
    <w:rsid w:val="00F211B8"/>
    <w:rsid w:val="00F21DD1"/>
    <w:rsid w:val="00F31390"/>
    <w:rsid w:val="00F42AF2"/>
    <w:rsid w:val="00F45DE1"/>
    <w:rsid w:val="00F543EA"/>
    <w:rsid w:val="00F556C3"/>
    <w:rsid w:val="00F55A47"/>
    <w:rsid w:val="00F62366"/>
    <w:rsid w:val="00F76DD1"/>
    <w:rsid w:val="00F92AEF"/>
    <w:rsid w:val="00F95A8D"/>
    <w:rsid w:val="00FA1802"/>
    <w:rsid w:val="00FA508D"/>
    <w:rsid w:val="00FA7119"/>
    <w:rsid w:val="00FC31DF"/>
    <w:rsid w:val="00FC5A0C"/>
    <w:rsid w:val="00FC76C9"/>
    <w:rsid w:val="00FD648F"/>
    <w:rsid w:val="00FD739D"/>
    <w:rsid w:val="00FE2252"/>
    <w:rsid w:val="00FE698A"/>
    <w:rsid w:val="00FF589C"/>
    <w:rsid w:val="00FF6155"/>
    <w:rsid w:val="00FF68AF"/>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08CB"/>
  <w15:chartTrackingRefBased/>
  <w15:docId w15:val="{C49D7645-C582-4F60-93AF-92C10627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9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unhideWhenUsed/>
    <w:rsid w:val="00541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7B72"/>
    <w:pPr>
      <w:autoSpaceDE w:val="0"/>
      <w:autoSpaceDN w:val="0"/>
      <w:adjustRightInd w:val="0"/>
    </w:pPr>
    <w:rPr>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9</Pages>
  <Words>2728</Words>
  <Characters>15550</Characters>
  <Application>Microsoft Office Word</Application>
  <DocSecurity>0</DocSecurity>
  <Lines>129</Lines>
  <Paragraphs>36</Paragraphs>
  <ScaleCrop>false</ScaleCrop>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Italian</dc:creator>
  <cp:keywords/>
  <dc:description/>
  <cp:lastModifiedBy>Italian</cp:lastModifiedBy>
  <cp:revision>66</cp:revision>
  <dcterms:created xsi:type="dcterms:W3CDTF">2022-10-25T07:24:00Z</dcterms:created>
  <dcterms:modified xsi:type="dcterms:W3CDTF">2022-10-25T12:13:00Z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8c1083-8924-401d-97ae-40f5eed0fcd8_Enabled">
    <vt:lpwstr>true</vt:lpwstr>
  </property>
  <property fmtid="{D5CDD505-2E9C-101B-9397-08002B2CF9AE}" pid="3" name="MSIP_Label_418c1083-8924-401d-97ae-40f5eed0fcd8_SetDate">
    <vt:lpwstr>2022-10-25T07:24:35Z</vt:lpwstr>
  </property>
  <property fmtid="{D5CDD505-2E9C-101B-9397-08002B2CF9AE}" pid="4" name="MSIP_Label_418c1083-8924-401d-97ae-40f5eed0fcd8_Method">
    <vt:lpwstr>Standard</vt:lpwstr>
  </property>
  <property fmtid="{D5CDD505-2E9C-101B-9397-08002B2CF9AE}" pid="5" name="MSIP_Label_418c1083-8924-401d-97ae-40f5eed0fcd8_Name">
    <vt:lpwstr>418c1083-8924-401d-97ae-40f5eed0fcd8</vt:lpwstr>
  </property>
  <property fmtid="{D5CDD505-2E9C-101B-9397-08002B2CF9AE}" pid="6" name="MSIP_Label_418c1083-8924-401d-97ae-40f5eed0fcd8_SiteId">
    <vt:lpwstr>a5a8bcaa-3292-41e6-b735-5e8b21f4dbfd</vt:lpwstr>
  </property>
  <property fmtid="{D5CDD505-2E9C-101B-9397-08002B2CF9AE}" pid="7" name="MSIP_Label_418c1083-8924-401d-97ae-40f5eed0fcd8_ActionId">
    <vt:lpwstr>48dc4af3-dfb2-45c8-b041-02c2f05172f3</vt:lpwstr>
  </property>
  <property fmtid="{D5CDD505-2E9C-101B-9397-08002B2CF9AE}" pid="8" name="MSIP_Label_418c1083-8924-401d-97ae-40f5eed0fcd8_ContentBits">
    <vt:lpwstr>0</vt:lpwstr>
  </property>
</Properties>
</file>